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FFE71" w14:textId="4DB3592D" w:rsidR="006E6044" w:rsidRPr="00C730D3" w:rsidRDefault="001E15E5" w:rsidP="001E15E5">
      <w:pPr>
        <w:spacing w:line="276" w:lineRule="auto"/>
        <w:jc w:val="center"/>
        <w:rPr>
          <w:rFonts w:asciiTheme="minorHAnsi" w:hAnsiTheme="minorHAnsi"/>
          <w:b/>
        </w:rPr>
      </w:pPr>
      <w:r w:rsidRPr="00C730D3">
        <w:rPr>
          <w:rFonts w:asciiTheme="minorHAnsi" w:hAnsiTheme="minorHAnsi"/>
          <w:b/>
        </w:rPr>
        <w:t>THE TRANSPARENCY PROJECT’S RESPONSE TO THE ENQUIRIES OF THE FPR RULES COMMITTEE</w:t>
      </w:r>
    </w:p>
    <w:p w14:paraId="4DF0F351" w14:textId="77777777" w:rsidR="00272CB6" w:rsidRPr="00C730D3" w:rsidRDefault="00272CB6" w:rsidP="001E15E5">
      <w:pPr>
        <w:spacing w:line="276" w:lineRule="auto"/>
        <w:rPr>
          <w:rFonts w:asciiTheme="minorHAnsi" w:hAnsiTheme="minorHAnsi"/>
        </w:rPr>
      </w:pPr>
    </w:p>
    <w:p w14:paraId="2FB34218" w14:textId="221BF64C" w:rsidR="00272CB6" w:rsidRPr="00C730D3" w:rsidRDefault="00C730D3" w:rsidP="001E15E5">
      <w:pPr>
        <w:spacing w:line="276" w:lineRule="auto"/>
        <w:rPr>
          <w:rFonts w:asciiTheme="minorHAnsi" w:eastAsia="Times New Roman" w:hAnsiTheme="minorHAnsi"/>
        </w:rPr>
      </w:pPr>
      <w:r w:rsidRPr="00C730D3">
        <w:rPr>
          <w:rFonts w:asciiTheme="minorHAnsi" w:eastAsia="Times New Roman" w:hAnsiTheme="minorHAnsi"/>
        </w:rPr>
        <w:t xml:space="preserve">Following our request that the FPR Rules Committee consider a change to the FPR to permit access to court by legal writers and bloggers, as described in our article in the Family Law Journal </w:t>
      </w:r>
      <w:r w:rsidRPr="00C730D3">
        <w:rPr>
          <w:rStyle w:val="Strong"/>
          <w:rFonts w:asciiTheme="minorHAnsi" w:eastAsia="Times New Roman" w:hAnsiTheme="minorHAnsi"/>
          <w:b w:val="0"/>
        </w:rPr>
        <w:t>(</w:t>
      </w:r>
      <w:r w:rsidRPr="00C730D3">
        <w:rPr>
          <w:rStyle w:val="Strong"/>
          <w:rFonts w:asciiTheme="minorHAnsi" w:eastAsia="Times New Roman" w:hAnsiTheme="minorHAnsi"/>
          <w:b w:val="0"/>
          <w:i/>
        </w:rPr>
        <w:t xml:space="preserve">Legal Bloggers - A Level Playing Field? </w:t>
      </w:r>
      <w:r w:rsidRPr="001E15E5">
        <w:rPr>
          <w:rStyle w:val="Strong"/>
          <w:rFonts w:asciiTheme="minorHAnsi" w:eastAsia="Times New Roman" w:hAnsiTheme="minorHAnsi"/>
          <w:b w:val="0"/>
        </w:rPr>
        <w:t>[2017] Fam Law 1267</w:t>
      </w:r>
      <w:r w:rsidRPr="00C730D3">
        <w:rPr>
          <w:rStyle w:val="Strong"/>
          <w:rFonts w:asciiTheme="minorHAnsi" w:eastAsia="Times New Roman" w:hAnsiTheme="minorHAnsi"/>
          <w:b w:val="0"/>
        </w:rPr>
        <w:t>)</w:t>
      </w:r>
      <w:r w:rsidRPr="00C730D3">
        <w:rPr>
          <w:rFonts w:asciiTheme="minorHAnsi" w:eastAsia="Times New Roman" w:hAnsiTheme="minorHAnsi"/>
        </w:rPr>
        <w:t>, w</w:t>
      </w:r>
      <w:r w:rsidR="00272CB6" w:rsidRPr="00C730D3">
        <w:rPr>
          <w:rFonts w:asciiTheme="minorHAnsi" w:eastAsia="Times New Roman" w:hAnsiTheme="minorHAnsi"/>
        </w:rPr>
        <w:t xml:space="preserve">e have been asked to respond to two </w:t>
      </w:r>
      <w:proofErr w:type="gramStart"/>
      <w:r w:rsidR="00272CB6" w:rsidRPr="00C730D3">
        <w:rPr>
          <w:rFonts w:asciiTheme="minorHAnsi" w:eastAsia="Times New Roman" w:hAnsiTheme="minorHAnsi"/>
        </w:rPr>
        <w:t>queries :</w:t>
      </w:r>
      <w:proofErr w:type="gramEnd"/>
    </w:p>
    <w:p w14:paraId="0AFB5A21" w14:textId="77777777" w:rsidR="00272CB6" w:rsidRPr="00C730D3" w:rsidRDefault="00272CB6" w:rsidP="001E15E5">
      <w:pPr>
        <w:spacing w:line="276" w:lineRule="auto"/>
        <w:rPr>
          <w:rFonts w:asciiTheme="minorHAnsi" w:eastAsia="Times New Roman" w:hAnsiTheme="minorHAnsi"/>
        </w:rPr>
      </w:pPr>
    </w:p>
    <w:p w14:paraId="67BD5B6F" w14:textId="77777777" w:rsidR="00272CB6" w:rsidRPr="00C730D3" w:rsidRDefault="00272CB6" w:rsidP="001E15E5">
      <w:pPr>
        <w:pStyle w:val="ListParagraph"/>
        <w:numPr>
          <w:ilvl w:val="0"/>
          <w:numId w:val="1"/>
        </w:numPr>
        <w:spacing w:line="276" w:lineRule="auto"/>
        <w:rPr>
          <w:rFonts w:eastAsia="Times New Roman" w:cs="Times New Roman"/>
          <w:i/>
        </w:rPr>
      </w:pPr>
      <w:r w:rsidRPr="00C730D3">
        <w:rPr>
          <w:rFonts w:eastAsia="Times New Roman" w:cs="Times New Roman"/>
          <w:i/>
        </w:rPr>
        <w:t xml:space="preserve">What is your proposed definition of “qualified lawyer”? </w:t>
      </w:r>
    </w:p>
    <w:p w14:paraId="66699B0C" w14:textId="77777777" w:rsidR="00272CB6" w:rsidRPr="00C730D3" w:rsidRDefault="00272CB6" w:rsidP="001E15E5">
      <w:pPr>
        <w:pStyle w:val="ListParagraph"/>
        <w:spacing w:line="276" w:lineRule="auto"/>
        <w:rPr>
          <w:rFonts w:eastAsia="Times New Roman" w:cs="Times New Roman"/>
          <w:i/>
        </w:rPr>
      </w:pPr>
    </w:p>
    <w:p w14:paraId="7C6E0082" w14:textId="77777777" w:rsidR="00272CB6" w:rsidRPr="00C730D3" w:rsidRDefault="00272CB6" w:rsidP="001E15E5">
      <w:pPr>
        <w:pStyle w:val="ListParagraph"/>
        <w:numPr>
          <w:ilvl w:val="0"/>
          <w:numId w:val="1"/>
        </w:numPr>
        <w:spacing w:line="276" w:lineRule="auto"/>
        <w:rPr>
          <w:rFonts w:eastAsia="Times New Roman" w:cs="Times New Roman"/>
          <w:i/>
        </w:rPr>
      </w:pPr>
      <w:r w:rsidRPr="00C730D3">
        <w:rPr>
          <w:rFonts w:eastAsia="Times New Roman" w:cs="Times New Roman"/>
          <w:i/>
        </w:rPr>
        <w:t xml:space="preserve">Secondly, what regulation would apply to anyone who misuses the </w:t>
      </w:r>
      <w:proofErr w:type="spellStart"/>
      <w:r w:rsidRPr="00C730D3">
        <w:rPr>
          <w:rFonts w:eastAsia="Times New Roman" w:cs="Times New Roman"/>
          <w:i/>
        </w:rPr>
        <w:t>authorisation</w:t>
      </w:r>
      <w:proofErr w:type="spellEnd"/>
      <w:r w:rsidRPr="00C730D3">
        <w:rPr>
          <w:rFonts w:eastAsia="Times New Roman" w:cs="Times New Roman"/>
          <w:i/>
        </w:rPr>
        <w:t xml:space="preserve"> in reporting anything e.g. if media report anything inaccurately there is record to the Press Complaints Commission. Is a similar sort of safeguarding proposed under your proposal and if so what would you consider to be the appropriate safeguards to support this amendment in practice?</w:t>
      </w:r>
    </w:p>
    <w:p w14:paraId="231683AC" w14:textId="77777777" w:rsidR="00272CB6" w:rsidRDefault="00272CB6" w:rsidP="001E15E5">
      <w:pPr>
        <w:spacing w:line="276" w:lineRule="auto"/>
        <w:rPr>
          <w:rFonts w:asciiTheme="minorHAnsi" w:hAnsiTheme="minorHAnsi"/>
        </w:rPr>
      </w:pPr>
    </w:p>
    <w:p w14:paraId="6465D881" w14:textId="374E6338" w:rsidR="00B56C53" w:rsidRDefault="00B56C53" w:rsidP="001E15E5">
      <w:pPr>
        <w:spacing w:line="276" w:lineRule="auto"/>
        <w:rPr>
          <w:rFonts w:asciiTheme="minorHAnsi" w:hAnsiTheme="minorHAnsi"/>
        </w:rPr>
      </w:pPr>
      <w:r>
        <w:rPr>
          <w:rFonts w:asciiTheme="minorHAnsi" w:hAnsiTheme="minorHAnsi"/>
        </w:rPr>
        <w:t>This document provides our answers, and at the foot of the document we have provided a composite proposed revised wording, for ease of reference.</w:t>
      </w:r>
    </w:p>
    <w:p w14:paraId="322FC067" w14:textId="77777777" w:rsidR="00B56C53" w:rsidRPr="00C730D3" w:rsidRDefault="00B56C53" w:rsidP="001E15E5">
      <w:pPr>
        <w:spacing w:line="276" w:lineRule="auto"/>
        <w:rPr>
          <w:rFonts w:asciiTheme="minorHAnsi" w:hAnsiTheme="minorHAnsi"/>
        </w:rPr>
      </w:pPr>
    </w:p>
    <w:p w14:paraId="31C62E7C" w14:textId="77777777" w:rsidR="00DB40C0" w:rsidRDefault="00DB40C0" w:rsidP="001E15E5">
      <w:pPr>
        <w:spacing w:line="276" w:lineRule="auto"/>
        <w:rPr>
          <w:rFonts w:asciiTheme="minorHAnsi" w:hAnsiTheme="minorHAnsi"/>
          <w:b/>
        </w:rPr>
      </w:pPr>
      <w:r w:rsidRPr="00C730D3">
        <w:rPr>
          <w:rFonts w:asciiTheme="minorHAnsi" w:hAnsiTheme="minorHAnsi"/>
          <w:b/>
        </w:rPr>
        <w:t>The starting point</w:t>
      </w:r>
    </w:p>
    <w:p w14:paraId="71164B42" w14:textId="77777777" w:rsidR="00C730D3" w:rsidRPr="00C730D3" w:rsidRDefault="00C730D3" w:rsidP="001E15E5">
      <w:pPr>
        <w:spacing w:line="276" w:lineRule="auto"/>
        <w:rPr>
          <w:rFonts w:asciiTheme="minorHAnsi" w:hAnsiTheme="minorHAnsi"/>
          <w:b/>
        </w:rPr>
      </w:pPr>
    </w:p>
    <w:p w14:paraId="1AF20C16" w14:textId="11FE5A1E" w:rsidR="00804256" w:rsidRPr="00C730D3" w:rsidRDefault="00804256" w:rsidP="001E15E5">
      <w:pPr>
        <w:spacing w:line="276" w:lineRule="auto"/>
        <w:rPr>
          <w:rFonts w:asciiTheme="minorHAnsi" w:hAnsiTheme="minorHAnsi"/>
        </w:rPr>
      </w:pPr>
      <w:r w:rsidRPr="00C730D3">
        <w:rPr>
          <w:rFonts w:asciiTheme="minorHAnsi" w:hAnsiTheme="minorHAnsi"/>
        </w:rPr>
        <w:t>We have been asked to justify our proposal. We start by making an observation that the starting point in our justice system is open justice</w:t>
      </w:r>
      <w:r w:rsidR="00FB5CF6" w:rsidRPr="00C730D3">
        <w:rPr>
          <w:rFonts w:asciiTheme="minorHAnsi" w:hAnsiTheme="minorHAnsi"/>
        </w:rPr>
        <w:t xml:space="preserve"> with limited exceptions to prevent the frustration of the administration of justice</w:t>
      </w:r>
      <w:r w:rsidRPr="00C730D3">
        <w:rPr>
          <w:rFonts w:asciiTheme="minorHAnsi" w:hAnsiTheme="minorHAnsi"/>
        </w:rPr>
        <w:t xml:space="preserve">. We respectfully suggest that the starting point in considering whether or not this modest proposal should be adopted should be to </w:t>
      </w:r>
      <w:proofErr w:type="gramStart"/>
      <w:r w:rsidRPr="00C730D3">
        <w:rPr>
          <w:rFonts w:asciiTheme="minorHAnsi" w:hAnsiTheme="minorHAnsi"/>
        </w:rPr>
        <w:t>ask</w:t>
      </w:r>
      <w:proofErr w:type="gramEnd"/>
      <w:r w:rsidRPr="00C730D3">
        <w:rPr>
          <w:rFonts w:asciiTheme="minorHAnsi" w:hAnsiTheme="minorHAnsi"/>
        </w:rPr>
        <w:t xml:space="preserve"> “Why not?”</w:t>
      </w:r>
      <w:r w:rsidR="00FB5CF6" w:rsidRPr="00C730D3">
        <w:rPr>
          <w:rFonts w:asciiTheme="minorHAnsi" w:hAnsiTheme="minorHAnsi"/>
        </w:rPr>
        <w:t xml:space="preserve"> if appropriate safeguards are put in place</w:t>
      </w:r>
      <w:r w:rsidRPr="00C730D3">
        <w:rPr>
          <w:rFonts w:asciiTheme="minorHAnsi" w:hAnsiTheme="minorHAnsi"/>
        </w:rPr>
        <w:t>.</w:t>
      </w:r>
    </w:p>
    <w:p w14:paraId="52C674F1" w14:textId="77777777" w:rsidR="00804256" w:rsidRPr="00C730D3" w:rsidRDefault="00804256" w:rsidP="001E15E5">
      <w:pPr>
        <w:spacing w:line="276" w:lineRule="auto"/>
        <w:rPr>
          <w:rFonts w:asciiTheme="minorHAnsi" w:hAnsiTheme="minorHAnsi"/>
        </w:rPr>
      </w:pPr>
    </w:p>
    <w:p w14:paraId="2281304C" w14:textId="71E225A4" w:rsidR="00804256" w:rsidRPr="00C730D3" w:rsidRDefault="00804256" w:rsidP="001E15E5">
      <w:pPr>
        <w:spacing w:line="276" w:lineRule="auto"/>
        <w:rPr>
          <w:rFonts w:asciiTheme="minorHAnsi" w:hAnsiTheme="minorHAnsi"/>
        </w:rPr>
      </w:pPr>
      <w:r w:rsidRPr="00C730D3">
        <w:rPr>
          <w:rFonts w:asciiTheme="minorHAnsi" w:hAnsiTheme="minorHAnsi"/>
        </w:rPr>
        <w:t xml:space="preserve">The current law permits journalists to attend court and, as long as they comply with the restrictions in place concerning anonymity and privacy (which vary from case to case) they </w:t>
      </w:r>
      <w:r w:rsidR="00FB5CF6" w:rsidRPr="00C730D3">
        <w:rPr>
          <w:rFonts w:asciiTheme="minorHAnsi" w:hAnsiTheme="minorHAnsi"/>
        </w:rPr>
        <w:t xml:space="preserve">are permitted to report proceedings freely. </w:t>
      </w:r>
      <w:r w:rsidRPr="00C730D3">
        <w:rPr>
          <w:rFonts w:asciiTheme="minorHAnsi" w:hAnsiTheme="minorHAnsi"/>
        </w:rPr>
        <w:t xml:space="preserve">The current law permits journalists to report on family cases whether or not </w:t>
      </w:r>
      <w:r w:rsidR="00FB5CF6" w:rsidRPr="00C730D3">
        <w:rPr>
          <w:rFonts w:asciiTheme="minorHAnsi" w:hAnsiTheme="minorHAnsi"/>
        </w:rPr>
        <w:t>they have attended court</w:t>
      </w:r>
      <w:r w:rsidRPr="00C730D3">
        <w:rPr>
          <w:rFonts w:asciiTheme="minorHAnsi" w:hAnsiTheme="minorHAnsi"/>
        </w:rPr>
        <w:t xml:space="preserve">, </w:t>
      </w:r>
      <w:r w:rsidR="00FB5CF6" w:rsidRPr="00C730D3">
        <w:rPr>
          <w:rFonts w:asciiTheme="minorHAnsi" w:hAnsiTheme="minorHAnsi"/>
        </w:rPr>
        <w:t>which many do not</w:t>
      </w:r>
      <w:r w:rsidRPr="00C730D3">
        <w:rPr>
          <w:rFonts w:asciiTheme="minorHAnsi" w:hAnsiTheme="minorHAnsi"/>
        </w:rPr>
        <w:t>.</w:t>
      </w:r>
      <w:r w:rsidR="00785B68" w:rsidRPr="00C730D3">
        <w:rPr>
          <w:rFonts w:asciiTheme="minorHAnsi" w:hAnsiTheme="minorHAnsi"/>
        </w:rPr>
        <w:t xml:space="preserve"> Naturally, angles deemed newsworthy are </w:t>
      </w:r>
      <w:proofErr w:type="spellStart"/>
      <w:r w:rsidR="00785B68" w:rsidRPr="00C730D3">
        <w:rPr>
          <w:rFonts w:asciiTheme="minorHAnsi" w:hAnsiTheme="minorHAnsi"/>
        </w:rPr>
        <w:t>prioritised</w:t>
      </w:r>
      <w:proofErr w:type="spellEnd"/>
      <w:r w:rsidR="00785B68" w:rsidRPr="00C730D3">
        <w:rPr>
          <w:rFonts w:asciiTheme="minorHAnsi" w:hAnsiTheme="minorHAnsi"/>
        </w:rPr>
        <w:t>.</w:t>
      </w:r>
      <w:r w:rsidRPr="00C730D3">
        <w:rPr>
          <w:rFonts w:asciiTheme="minorHAnsi" w:hAnsiTheme="minorHAnsi"/>
        </w:rPr>
        <w:t xml:space="preserve"> </w:t>
      </w:r>
      <w:r w:rsidR="00FB5CF6" w:rsidRPr="00C730D3">
        <w:rPr>
          <w:rFonts w:asciiTheme="minorHAnsi" w:hAnsiTheme="minorHAnsi"/>
        </w:rPr>
        <w:t xml:space="preserve">Frequently, </w:t>
      </w:r>
      <w:r w:rsidR="004238A9" w:rsidRPr="00C730D3">
        <w:rPr>
          <w:rFonts w:asciiTheme="minorHAnsi" w:hAnsiTheme="minorHAnsi"/>
        </w:rPr>
        <w:t xml:space="preserve">though not uniformly, </w:t>
      </w:r>
      <w:r w:rsidR="00FB5CF6" w:rsidRPr="00C730D3">
        <w:rPr>
          <w:rFonts w:asciiTheme="minorHAnsi" w:hAnsiTheme="minorHAnsi"/>
        </w:rPr>
        <w:t>coverage</w:t>
      </w:r>
      <w:r w:rsidR="00785B68" w:rsidRPr="00C730D3">
        <w:rPr>
          <w:rFonts w:asciiTheme="minorHAnsi" w:hAnsiTheme="minorHAnsi"/>
        </w:rPr>
        <w:t xml:space="preserve"> by non-specialists</w:t>
      </w:r>
      <w:r w:rsidR="00FB5CF6" w:rsidRPr="00C730D3">
        <w:rPr>
          <w:rFonts w:asciiTheme="minorHAnsi" w:hAnsiTheme="minorHAnsi"/>
        </w:rPr>
        <w:t xml:space="preserve"> is inaccurate and </w:t>
      </w:r>
      <w:r w:rsidR="00785B68" w:rsidRPr="00C730D3">
        <w:rPr>
          <w:rFonts w:asciiTheme="minorHAnsi" w:hAnsiTheme="minorHAnsi"/>
        </w:rPr>
        <w:t>omits or distorts important public interest information</w:t>
      </w:r>
      <w:r w:rsidR="00DB40C0" w:rsidRPr="00C730D3">
        <w:rPr>
          <w:rFonts w:asciiTheme="minorHAnsi" w:hAnsiTheme="minorHAnsi"/>
        </w:rPr>
        <w:t>.</w:t>
      </w:r>
      <w:r w:rsidR="006D5368" w:rsidRPr="00C730D3">
        <w:rPr>
          <w:rStyle w:val="FootnoteReference"/>
          <w:rFonts w:asciiTheme="minorHAnsi" w:hAnsiTheme="minorHAnsi"/>
        </w:rPr>
        <w:footnoteReference w:id="2"/>
      </w:r>
      <w:r w:rsidR="00DB40C0" w:rsidRPr="00C730D3">
        <w:rPr>
          <w:rFonts w:asciiTheme="minorHAnsi" w:hAnsiTheme="minorHAnsi"/>
        </w:rPr>
        <w:t xml:space="preserve"> The current system of press regulation neither prevents nor entirely remedies that.</w:t>
      </w:r>
    </w:p>
    <w:p w14:paraId="512698EB" w14:textId="77777777" w:rsidR="00DB40C0" w:rsidRPr="00C730D3" w:rsidRDefault="00DB40C0" w:rsidP="001E15E5">
      <w:pPr>
        <w:spacing w:line="276" w:lineRule="auto"/>
        <w:rPr>
          <w:rFonts w:asciiTheme="minorHAnsi" w:hAnsiTheme="minorHAnsi"/>
        </w:rPr>
      </w:pPr>
    </w:p>
    <w:p w14:paraId="50C549E2" w14:textId="33DE0AD9" w:rsidR="00DB40C0" w:rsidRPr="00C730D3" w:rsidRDefault="00DB40C0" w:rsidP="001E15E5">
      <w:pPr>
        <w:spacing w:line="276" w:lineRule="auto"/>
        <w:rPr>
          <w:rFonts w:asciiTheme="minorHAnsi" w:hAnsiTheme="minorHAnsi"/>
        </w:rPr>
      </w:pPr>
      <w:r w:rsidRPr="00C730D3">
        <w:rPr>
          <w:rFonts w:asciiTheme="minorHAnsi" w:hAnsiTheme="minorHAnsi"/>
        </w:rPr>
        <w:t xml:space="preserve">We are asking </w:t>
      </w:r>
      <w:r w:rsidR="00793FF8" w:rsidRPr="00C730D3">
        <w:rPr>
          <w:rFonts w:asciiTheme="minorHAnsi" w:hAnsiTheme="minorHAnsi"/>
        </w:rPr>
        <w:t xml:space="preserve">that </w:t>
      </w:r>
      <w:r w:rsidRPr="00C730D3">
        <w:rPr>
          <w:rFonts w:asciiTheme="minorHAnsi" w:hAnsiTheme="minorHAnsi"/>
        </w:rPr>
        <w:t xml:space="preserve">the pool of those entitled to attend court be marginally expanded. Nothing in our proposal will affect </w:t>
      </w:r>
      <w:r w:rsidR="00713DF8">
        <w:rPr>
          <w:rFonts w:asciiTheme="minorHAnsi" w:hAnsiTheme="minorHAnsi"/>
        </w:rPr>
        <w:t xml:space="preserve">the press’s ability to report </w:t>
      </w:r>
      <w:r w:rsidRPr="00C730D3">
        <w:rPr>
          <w:rFonts w:asciiTheme="minorHAnsi" w:hAnsiTheme="minorHAnsi"/>
        </w:rPr>
        <w:t xml:space="preserve">family courts, and the </w:t>
      </w:r>
      <w:r w:rsidR="006D5368" w:rsidRPr="00C730D3">
        <w:rPr>
          <w:rFonts w:asciiTheme="minorHAnsi" w:hAnsiTheme="minorHAnsi"/>
        </w:rPr>
        <w:t>impact</w:t>
      </w:r>
      <w:r w:rsidRPr="00C730D3">
        <w:rPr>
          <w:rFonts w:asciiTheme="minorHAnsi" w:hAnsiTheme="minorHAnsi"/>
        </w:rPr>
        <w:t xml:space="preserve"> of legal bloggers will </w:t>
      </w:r>
      <w:r w:rsidR="006D5368" w:rsidRPr="00C730D3">
        <w:rPr>
          <w:rFonts w:asciiTheme="minorHAnsi" w:hAnsiTheme="minorHAnsi"/>
        </w:rPr>
        <w:t xml:space="preserve">be minimal compared to the international and national reach </w:t>
      </w:r>
      <w:r w:rsidRPr="00C730D3">
        <w:rPr>
          <w:rFonts w:asciiTheme="minorHAnsi" w:hAnsiTheme="minorHAnsi"/>
        </w:rPr>
        <w:t>mainstream media</w:t>
      </w:r>
      <w:r w:rsidR="004238A9" w:rsidRPr="00C730D3">
        <w:rPr>
          <w:rFonts w:asciiTheme="minorHAnsi" w:hAnsiTheme="minorHAnsi"/>
        </w:rPr>
        <w:t xml:space="preserve">. </w:t>
      </w:r>
      <w:r w:rsidR="00743DDA" w:rsidRPr="00C730D3">
        <w:rPr>
          <w:rFonts w:asciiTheme="minorHAnsi" w:hAnsiTheme="minorHAnsi"/>
        </w:rPr>
        <w:t>However</w:t>
      </w:r>
      <w:r w:rsidR="004238A9" w:rsidRPr="00C730D3">
        <w:rPr>
          <w:rFonts w:asciiTheme="minorHAnsi" w:hAnsiTheme="minorHAnsi"/>
        </w:rPr>
        <w:t xml:space="preserve">, bloggers can play a vital role in complementing, explaining, </w:t>
      </w:r>
      <w:r w:rsidR="004238A9" w:rsidRPr="00C730D3">
        <w:rPr>
          <w:rFonts w:asciiTheme="minorHAnsi" w:hAnsiTheme="minorHAnsi"/>
        </w:rPr>
        <w:lastRenderedPageBreak/>
        <w:t xml:space="preserve">and </w:t>
      </w:r>
      <w:r w:rsidR="00003F01" w:rsidRPr="00C730D3">
        <w:rPr>
          <w:rFonts w:asciiTheme="minorHAnsi" w:hAnsiTheme="minorHAnsi"/>
        </w:rPr>
        <w:t>when necessary</w:t>
      </w:r>
      <w:r w:rsidR="004238A9" w:rsidRPr="00C730D3">
        <w:rPr>
          <w:rFonts w:asciiTheme="minorHAnsi" w:hAnsiTheme="minorHAnsi"/>
        </w:rPr>
        <w:t xml:space="preserve"> correcting, media reports; indeed informed blog commentary has sometimes been </w:t>
      </w:r>
      <w:r w:rsidR="006B5B9B" w:rsidRPr="00C730D3">
        <w:rPr>
          <w:rFonts w:asciiTheme="minorHAnsi" w:hAnsiTheme="minorHAnsi"/>
        </w:rPr>
        <w:t>acknowledged</w:t>
      </w:r>
      <w:r w:rsidR="004238A9" w:rsidRPr="00C730D3">
        <w:rPr>
          <w:rFonts w:asciiTheme="minorHAnsi" w:hAnsiTheme="minorHAnsi"/>
        </w:rPr>
        <w:t xml:space="preserve"> </w:t>
      </w:r>
      <w:r w:rsidR="00003F01" w:rsidRPr="00C730D3">
        <w:rPr>
          <w:rFonts w:asciiTheme="minorHAnsi" w:hAnsiTheme="minorHAnsi"/>
        </w:rPr>
        <w:t xml:space="preserve">as a useful source </w:t>
      </w:r>
      <w:r w:rsidR="004238A9" w:rsidRPr="00C730D3">
        <w:rPr>
          <w:rFonts w:asciiTheme="minorHAnsi" w:hAnsiTheme="minorHAnsi"/>
        </w:rPr>
        <w:t xml:space="preserve">by the </w:t>
      </w:r>
      <w:r w:rsidR="006B5B9B" w:rsidRPr="00C730D3">
        <w:rPr>
          <w:rFonts w:asciiTheme="minorHAnsi" w:hAnsiTheme="minorHAnsi"/>
        </w:rPr>
        <w:t>judiciary</w:t>
      </w:r>
      <w:r w:rsidR="489F58BF" w:rsidRPr="00C730D3">
        <w:rPr>
          <w:rFonts w:asciiTheme="minorHAnsi" w:hAnsiTheme="minorHAnsi"/>
        </w:rPr>
        <w:t xml:space="preserve"> and cited in judgments</w:t>
      </w:r>
      <w:r w:rsidRPr="00C730D3">
        <w:rPr>
          <w:rFonts w:asciiTheme="minorHAnsi" w:hAnsiTheme="minorHAnsi"/>
        </w:rPr>
        <w:t>.</w:t>
      </w:r>
      <w:r w:rsidR="00713DF8">
        <w:rPr>
          <w:rStyle w:val="FootnoteReference"/>
          <w:rFonts w:asciiTheme="minorHAnsi" w:hAnsiTheme="minorHAnsi"/>
        </w:rPr>
        <w:footnoteReference w:id="3"/>
      </w:r>
      <w:r w:rsidR="00F116B1" w:rsidRPr="00C730D3">
        <w:rPr>
          <w:rFonts w:asciiTheme="minorHAnsi" w:hAnsiTheme="minorHAnsi"/>
        </w:rPr>
        <w:t xml:space="preserve"> In the criminal context, the role of “legal commentators</w:t>
      </w:r>
      <w:r w:rsidR="004238A9" w:rsidRPr="00C730D3">
        <w:rPr>
          <w:rFonts w:asciiTheme="minorHAnsi" w:hAnsiTheme="minorHAnsi"/>
        </w:rPr>
        <w:t xml:space="preserve">” alongside that of the media has been </w:t>
      </w:r>
      <w:proofErr w:type="spellStart"/>
      <w:r w:rsidR="004238A9" w:rsidRPr="00C730D3">
        <w:rPr>
          <w:rFonts w:asciiTheme="minorHAnsi" w:hAnsiTheme="minorHAnsi"/>
        </w:rPr>
        <w:t>recognis</w:t>
      </w:r>
      <w:r w:rsidR="00F116B1" w:rsidRPr="00C730D3">
        <w:rPr>
          <w:rFonts w:asciiTheme="minorHAnsi" w:hAnsiTheme="minorHAnsi"/>
        </w:rPr>
        <w:t>ed</w:t>
      </w:r>
      <w:proofErr w:type="spellEnd"/>
      <w:r w:rsidR="00F116B1" w:rsidRPr="00C730D3">
        <w:rPr>
          <w:rFonts w:asciiTheme="minorHAnsi" w:hAnsiTheme="minorHAnsi"/>
        </w:rPr>
        <w:t xml:space="preserve"> in the rules concerning Twitter in the Criminal Practice Directions, which</w:t>
      </w:r>
      <w:r w:rsidR="00094D15" w:rsidRPr="00C730D3">
        <w:rPr>
          <w:rFonts w:asciiTheme="minorHAnsi" w:hAnsiTheme="minorHAnsi"/>
        </w:rPr>
        <w:t xml:space="preserve"> state </w:t>
      </w:r>
      <w:r w:rsidR="00F116B1" w:rsidRPr="00C730D3">
        <w:rPr>
          <w:rFonts w:asciiTheme="minorHAnsi" w:hAnsiTheme="minorHAnsi"/>
        </w:rPr>
        <w:t xml:space="preserve">at 16c.8 (our emphasis): “It is presumed that a representative of the media or a </w:t>
      </w:r>
      <w:r w:rsidR="00F116B1" w:rsidRPr="00E00016">
        <w:rPr>
          <w:rFonts w:asciiTheme="minorHAnsi" w:hAnsiTheme="minorHAnsi"/>
          <w:bCs/>
          <w:i/>
        </w:rPr>
        <w:t>legal commentator</w:t>
      </w:r>
      <w:r w:rsidR="00F116B1" w:rsidRPr="00C730D3">
        <w:rPr>
          <w:rFonts w:asciiTheme="minorHAnsi" w:hAnsiTheme="minorHAnsi"/>
        </w:rPr>
        <w:t xml:space="preserve"> using live text‐based  communications  from  court  does  not  pose  a  danger of interference to the proper administration of justice in the individual case”.</w:t>
      </w:r>
      <w:r w:rsidR="00F116B1" w:rsidRPr="00C730D3">
        <w:rPr>
          <w:rStyle w:val="FootnoteReference"/>
          <w:rFonts w:asciiTheme="minorHAnsi" w:hAnsiTheme="minorHAnsi"/>
        </w:rPr>
        <w:footnoteReference w:id="4"/>
      </w:r>
      <w:r w:rsidR="00F116B1" w:rsidRPr="00C730D3">
        <w:rPr>
          <w:rFonts w:asciiTheme="minorHAnsi" w:hAnsiTheme="minorHAnsi"/>
        </w:rPr>
        <w:t xml:space="preserve"> This rule does not seem to have </w:t>
      </w:r>
      <w:r w:rsidR="00003F01" w:rsidRPr="00C730D3">
        <w:rPr>
          <w:rFonts w:asciiTheme="minorHAnsi" w:hAnsiTheme="minorHAnsi"/>
        </w:rPr>
        <w:t>presented any problems. In view of the distinct context and special restrictions in the family courts, our</w:t>
      </w:r>
      <w:r w:rsidR="00F116B1" w:rsidRPr="00C730D3">
        <w:rPr>
          <w:rFonts w:asciiTheme="minorHAnsi" w:hAnsiTheme="minorHAnsi"/>
        </w:rPr>
        <w:t xml:space="preserve"> </w:t>
      </w:r>
      <w:r w:rsidR="004238A9" w:rsidRPr="00C730D3">
        <w:rPr>
          <w:rFonts w:asciiTheme="minorHAnsi" w:hAnsiTheme="minorHAnsi"/>
        </w:rPr>
        <w:t>proposed extension to the privileged access currently afforded to the media</w:t>
      </w:r>
      <w:r w:rsidR="00F116B1" w:rsidRPr="00C730D3">
        <w:rPr>
          <w:rFonts w:asciiTheme="minorHAnsi" w:hAnsiTheme="minorHAnsi"/>
        </w:rPr>
        <w:t xml:space="preserve"> is </w:t>
      </w:r>
      <w:r w:rsidR="00003F01" w:rsidRPr="00C730D3">
        <w:rPr>
          <w:rFonts w:asciiTheme="minorHAnsi" w:hAnsiTheme="minorHAnsi"/>
        </w:rPr>
        <w:t xml:space="preserve">far </w:t>
      </w:r>
      <w:r w:rsidR="00F116B1" w:rsidRPr="00C730D3">
        <w:rPr>
          <w:rFonts w:asciiTheme="minorHAnsi" w:hAnsiTheme="minorHAnsi"/>
        </w:rPr>
        <w:t>narrower than this.</w:t>
      </w:r>
    </w:p>
    <w:p w14:paraId="3BB04D20" w14:textId="77777777" w:rsidR="00804256" w:rsidRPr="00C730D3" w:rsidRDefault="00804256" w:rsidP="001E15E5">
      <w:pPr>
        <w:spacing w:line="276" w:lineRule="auto"/>
        <w:rPr>
          <w:rFonts w:asciiTheme="minorHAnsi" w:hAnsiTheme="minorHAnsi"/>
        </w:rPr>
      </w:pPr>
    </w:p>
    <w:p w14:paraId="758B9F49" w14:textId="77777777" w:rsidR="00DB40C0" w:rsidRDefault="00DB40C0" w:rsidP="001E15E5">
      <w:pPr>
        <w:spacing w:line="276" w:lineRule="auto"/>
        <w:rPr>
          <w:rFonts w:asciiTheme="minorHAnsi" w:hAnsiTheme="minorHAnsi"/>
          <w:b/>
        </w:rPr>
      </w:pPr>
      <w:r w:rsidRPr="00C730D3">
        <w:rPr>
          <w:rFonts w:asciiTheme="minorHAnsi" w:hAnsiTheme="minorHAnsi"/>
          <w:b/>
        </w:rPr>
        <w:t>The structure of our proposal</w:t>
      </w:r>
    </w:p>
    <w:p w14:paraId="79019BA7" w14:textId="77777777" w:rsidR="00C730D3" w:rsidRPr="00C730D3" w:rsidRDefault="00C730D3" w:rsidP="001E15E5">
      <w:pPr>
        <w:spacing w:line="276" w:lineRule="auto"/>
        <w:rPr>
          <w:rFonts w:asciiTheme="minorHAnsi" w:hAnsiTheme="minorHAnsi"/>
          <w:b/>
        </w:rPr>
      </w:pPr>
    </w:p>
    <w:p w14:paraId="086AAB7C" w14:textId="1F142AC9" w:rsidR="00272CB6" w:rsidRPr="00C730D3" w:rsidRDefault="00272CB6" w:rsidP="001E15E5">
      <w:pPr>
        <w:spacing w:line="276" w:lineRule="auto"/>
        <w:rPr>
          <w:rFonts w:asciiTheme="minorHAnsi" w:hAnsiTheme="minorHAnsi"/>
        </w:rPr>
      </w:pPr>
      <w:r w:rsidRPr="00C730D3">
        <w:rPr>
          <w:rFonts w:asciiTheme="minorHAnsi" w:hAnsiTheme="minorHAnsi"/>
        </w:rPr>
        <w:t xml:space="preserve">We have modelled the draft revised wording on the structure used in the 2009 rule changes which permitted </w:t>
      </w:r>
      <w:r w:rsidR="004238A9" w:rsidRPr="00C730D3">
        <w:rPr>
          <w:rFonts w:asciiTheme="minorHAnsi" w:hAnsiTheme="minorHAnsi"/>
        </w:rPr>
        <w:t xml:space="preserve">accredited </w:t>
      </w:r>
      <w:r w:rsidRPr="00C730D3">
        <w:rPr>
          <w:rFonts w:asciiTheme="minorHAnsi" w:hAnsiTheme="minorHAnsi"/>
        </w:rPr>
        <w:t>journalists to attend court. The scheme for journalists includes a straightforward system of identification via press card which acts as a proxy for court staff and judges to quickly identify members of the press</w:t>
      </w:r>
      <w:r w:rsidR="00473847" w:rsidRPr="00C730D3">
        <w:rPr>
          <w:rFonts w:asciiTheme="minorHAnsi" w:hAnsiTheme="minorHAnsi"/>
        </w:rPr>
        <w:t>, leaving those bodies who issue press cards to control their own criteria for accessing such cards</w:t>
      </w:r>
      <w:r w:rsidRPr="00C730D3">
        <w:rPr>
          <w:rFonts w:asciiTheme="minorHAnsi" w:hAnsiTheme="minorHAnsi"/>
        </w:rPr>
        <w:t>.</w:t>
      </w:r>
    </w:p>
    <w:p w14:paraId="7F41602D" w14:textId="77777777" w:rsidR="00272CB6" w:rsidRPr="00C730D3" w:rsidRDefault="00272CB6" w:rsidP="001E15E5">
      <w:pPr>
        <w:spacing w:line="276" w:lineRule="auto"/>
        <w:rPr>
          <w:rFonts w:asciiTheme="minorHAnsi" w:hAnsiTheme="minorHAnsi"/>
        </w:rPr>
      </w:pPr>
    </w:p>
    <w:p w14:paraId="0A139E07" w14:textId="63BA1EFC" w:rsidR="00272CB6" w:rsidRPr="00C730D3" w:rsidRDefault="00272CB6" w:rsidP="001E15E5">
      <w:pPr>
        <w:spacing w:line="276" w:lineRule="auto"/>
        <w:rPr>
          <w:rFonts w:asciiTheme="minorHAnsi" w:hAnsiTheme="minorHAnsi"/>
        </w:rPr>
      </w:pPr>
      <w:r w:rsidRPr="00C730D3">
        <w:rPr>
          <w:rFonts w:asciiTheme="minorHAnsi" w:hAnsiTheme="minorHAnsi"/>
        </w:rPr>
        <w:t>In the case of lawyers, we propose that equivalent forms of identification could be used</w:t>
      </w:r>
      <w:r w:rsidR="004238A9" w:rsidRPr="00C730D3">
        <w:rPr>
          <w:rFonts w:asciiTheme="minorHAnsi" w:hAnsiTheme="minorHAnsi"/>
        </w:rPr>
        <w:t>;</w:t>
      </w:r>
      <w:r w:rsidRPr="00C730D3">
        <w:rPr>
          <w:rFonts w:asciiTheme="minorHAnsi" w:hAnsiTheme="minorHAnsi"/>
        </w:rPr>
        <w:t xml:space="preserve"> in most instances production of a </w:t>
      </w:r>
      <w:proofErr w:type="spellStart"/>
      <w:r w:rsidRPr="00C730D3">
        <w:rPr>
          <w:rFonts w:asciiTheme="minorHAnsi" w:hAnsiTheme="minorHAnsi"/>
        </w:rPr>
        <w:t>practising</w:t>
      </w:r>
      <w:proofErr w:type="spellEnd"/>
      <w:r w:rsidRPr="00C730D3">
        <w:rPr>
          <w:rFonts w:asciiTheme="minorHAnsi" w:hAnsiTheme="minorHAnsi"/>
        </w:rPr>
        <w:t xml:space="preserve"> certificate will suffice. </w:t>
      </w:r>
    </w:p>
    <w:p w14:paraId="2DA239CD" w14:textId="77777777" w:rsidR="00272CB6" w:rsidRPr="00C730D3" w:rsidRDefault="00272CB6" w:rsidP="001E15E5">
      <w:pPr>
        <w:spacing w:line="276" w:lineRule="auto"/>
        <w:rPr>
          <w:rFonts w:asciiTheme="minorHAnsi" w:hAnsiTheme="minorHAnsi"/>
        </w:rPr>
      </w:pPr>
    </w:p>
    <w:p w14:paraId="43903D59" w14:textId="5C428628" w:rsidR="00272CB6" w:rsidRPr="00C730D3" w:rsidRDefault="00FF79BB" w:rsidP="001E15E5">
      <w:pPr>
        <w:spacing w:line="276" w:lineRule="auto"/>
        <w:rPr>
          <w:rFonts w:asciiTheme="minorHAnsi" w:hAnsiTheme="minorHAnsi"/>
        </w:rPr>
      </w:pPr>
      <w:r w:rsidRPr="00C730D3">
        <w:rPr>
          <w:rFonts w:asciiTheme="minorHAnsi" w:hAnsiTheme="minorHAnsi"/>
        </w:rPr>
        <w:t>W</w:t>
      </w:r>
      <w:r w:rsidR="00473847" w:rsidRPr="00C730D3">
        <w:rPr>
          <w:rFonts w:asciiTheme="minorHAnsi" w:hAnsiTheme="minorHAnsi"/>
        </w:rPr>
        <w:t xml:space="preserve">e have </w:t>
      </w:r>
      <w:r w:rsidRPr="00C730D3">
        <w:rPr>
          <w:rFonts w:asciiTheme="minorHAnsi" w:hAnsiTheme="minorHAnsi"/>
        </w:rPr>
        <w:t>provided</w:t>
      </w:r>
      <w:r w:rsidR="00473847" w:rsidRPr="00C730D3">
        <w:rPr>
          <w:rFonts w:asciiTheme="minorHAnsi" w:hAnsiTheme="minorHAnsi"/>
        </w:rPr>
        <w:t xml:space="preserve"> a concept of “</w:t>
      </w:r>
      <w:proofErr w:type="spellStart"/>
      <w:r w:rsidR="00473847" w:rsidRPr="00C730D3">
        <w:rPr>
          <w:rFonts w:asciiTheme="minorHAnsi" w:hAnsiTheme="minorHAnsi"/>
        </w:rPr>
        <w:t>authori</w:t>
      </w:r>
      <w:r w:rsidR="1F95C7F0" w:rsidRPr="00C730D3">
        <w:rPr>
          <w:rFonts w:asciiTheme="minorHAnsi" w:hAnsiTheme="minorHAnsi"/>
        </w:rPr>
        <w:t>s</w:t>
      </w:r>
      <w:r w:rsidR="00473847" w:rsidRPr="00C730D3">
        <w:rPr>
          <w:rFonts w:asciiTheme="minorHAnsi" w:hAnsiTheme="minorHAnsi"/>
        </w:rPr>
        <w:t>ed</w:t>
      </w:r>
      <w:proofErr w:type="spellEnd"/>
      <w:r w:rsidR="00473847" w:rsidRPr="00C730D3">
        <w:rPr>
          <w:rFonts w:asciiTheme="minorHAnsi" w:hAnsiTheme="minorHAnsi"/>
        </w:rPr>
        <w:t xml:space="preserve"> lawyer”, such </w:t>
      </w:r>
      <w:proofErr w:type="spellStart"/>
      <w:r w:rsidR="00473847" w:rsidRPr="00C730D3">
        <w:rPr>
          <w:rFonts w:asciiTheme="minorHAnsi" w:hAnsiTheme="minorHAnsi"/>
        </w:rPr>
        <w:t>authori</w:t>
      </w:r>
      <w:r w:rsidR="003B0702" w:rsidRPr="00C730D3">
        <w:rPr>
          <w:rFonts w:asciiTheme="minorHAnsi" w:hAnsiTheme="minorHAnsi"/>
        </w:rPr>
        <w:t>s</w:t>
      </w:r>
      <w:r w:rsidR="00473847" w:rsidRPr="00C730D3">
        <w:rPr>
          <w:rFonts w:asciiTheme="minorHAnsi" w:hAnsiTheme="minorHAnsi"/>
        </w:rPr>
        <w:t>ation</w:t>
      </w:r>
      <w:proofErr w:type="spellEnd"/>
      <w:r w:rsidR="00473847" w:rsidRPr="00C730D3">
        <w:rPr>
          <w:rFonts w:asciiTheme="minorHAnsi" w:hAnsiTheme="minorHAnsi"/>
        </w:rPr>
        <w:t xml:space="preserve"> to be gained by production of the relevant identification. </w:t>
      </w:r>
      <w:r w:rsidR="00272CB6" w:rsidRPr="00C730D3">
        <w:rPr>
          <w:rFonts w:asciiTheme="minorHAnsi" w:hAnsiTheme="minorHAnsi"/>
        </w:rPr>
        <w:t xml:space="preserve">Any person holding </w:t>
      </w:r>
      <w:r w:rsidRPr="00C730D3">
        <w:rPr>
          <w:rFonts w:asciiTheme="minorHAnsi" w:hAnsiTheme="minorHAnsi"/>
        </w:rPr>
        <w:t xml:space="preserve">a </w:t>
      </w:r>
      <w:proofErr w:type="spellStart"/>
      <w:r w:rsidRPr="00C730D3">
        <w:rPr>
          <w:rFonts w:asciiTheme="minorHAnsi" w:hAnsiTheme="minorHAnsi"/>
        </w:rPr>
        <w:t>practising</w:t>
      </w:r>
      <w:proofErr w:type="spellEnd"/>
      <w:r w:rsidRPr="00C730D3">
        <w:rPr>
          <w:rFonts w:asciiTheme="minorHAnsi" w:hAnsiTheme="minorHAnsi"/>
        </w:rPr>
        <w:t xml:space="preserve"> certificate will necessarily be</w:t>
      </w:r>
      <w:r w:rsidR="00272CB6" w:rsidRPr="00C730D3">
        <w:rPr>
          <w:rFonts w:asciiTheme="minorHAnsi" w:hAnsiTheme="minorHAnsi"/>
        </w:rPr>
        <w:t xml:space="preserve"> a “qualified lawyer” for the purposes of whatever regulatory scheme is in place for lawyers </w:t>
      </w:r>
      <w:proofErr w:type="spellStart"/>
      <w:r w:rsidR="00272CB6" w:rsidRPr="00C730D3">
        <w:rPr>
          <w:rFonts w:asciiTheme="minorHAnsi" w:hAnsiTheme="minorHAnsi"/>
        </w:rPr>
        <w:t>practising</w:t>
      </w:r>
      <w:proofErr w:type="spellEnd"/>
      <w:r w:rsidR="00272CB6" w:rsidRPr="00C730D3">
        <w:rPr>
          <w:rFonts w:asciiTheme="minorHAnsi" w:hAnsiTheme="minorHAnsi"/>
        </w:rPr>
        <w:t xml:space="preserve"> in England and Wales, </w:t>
      </w:r>
      <w:r w:rsidR="00473847" w:rsidRPr="00C730D3">
        <w:rPr>
          <w:rFonts w:asciiTheme="minorHAnsi" w:hAnsiTheme="minorHAnsi"/>
        </w:rPr>
        <w:t>just as any press card holder will meet the criteria for that documentation applicable from time to time</w:t>
      </w:r>
      <w:r w:rsidR="00272CB6" w:rsidRPr="00C730D3">
        <w:rPr>
          <w:rFonts w:asciiTheme="minorHAnsi" w:hAnsiTheme="minorHAnsi"/>
        </w:rPr>
        <w:t>.</w:t>
      </w:r>
    </w:p>
    <w:p w14:paraId="0F8E4AF0" w14:textId="77777777" w:rsidR="00272CB6" w:rsidRPr="00C730D3" w:rsidRDefault="00272CB6" w:rsidP="001E15E5">
      <w:pPr>
        <w:spacing w:line="276" w:lineRule="auto"/>
        <w:rPr>
          <w:rFonts w:asciiTheme="minorHAnsi" w:hAnsiTheme="minorHAnsi"/>
        </w:rPr>
      </w:pPr>
    </w:p>
    <w:p w14:paraId="60DD973A" w14:textId="696D5604" w:rsidR="00272CB6" w:rsidRPr="00C730D3" w:rsidRDefault="00B001CC" w:rsidP="001E15E5">
      <w:pPr>
        <w:spacing w:line="276" w:lineRule="auto"/>
        <w:textAlignment w:val="baseline"/>
        <w:rPr>
          <w:rFonts w:asciiTheme="minorHAnsi" w:eastAsia="Times New Roman" w:hAnsiTheme="minorHAnsi" w:cs="Arial"/>
          <w:color w:val="000000"/>
        </w:rPr>
      </w:pPr>
      <w:r w:rsidRPr="00C730D3">
        <w:rPr>
          <w:rFonts w:asciiTheme="minorHAnsi" w:hAnsiTheme="minorHAnsi"/>
        </w:rPr>
        <w:t xml:space="preserve">The reference to a </w:t>
      </w:r>
      <w:r w:rsidR="001E15E5">
        <w:rPr>
          <w:rFonts w:asciiTheme="minorHAnsi" w:hAnsiTheme="minorHAnsi"/>
        </w:rPr>
        <w:t>“</w:t>
      </w:r>
      <w:r w:rsidRPr="00C730D3">
        <w:rPr>
          <w:rFonts w:asciiTheme="minorHAnsi" w:hAnsiTheme="minorHAnsi"/>
        </w:rPr>
        <w:t>qualified lawyer</w:t>
      </w:r>
      <w:r w:rsidR="001E15E5">
        <w:rPr>
          <w:rFonts w:asciiTheme="minorHAnsi" w:hAnsiTheme="minorHAnsi"/>
        </w:rPr>
        <w:t>”</w:t>
      </w:r>
      <w:r w:rsidRPr="00C730D3">
        <w:rPr>
          <w:rFonts w:asciiTheme="minorHAnsi" w:hAnsiTheme="minorHAnsi"/>
        </w:rPr>
        <w:t xml:space="preserve"> is to a person who has satisfied the academic and vocationa</w:t>
      </w:r>
      <w:r w:rsidR="00A44837" w:rsidRPr="00C730D3">
        <w:rPr>
          <w:rFonts w:asciiTheme="minorHAnsi" w:hAnsiTheme="minorHAnsi"/>
        </w:rPr>
        <w:t>l / professional</w:t>
      </w:r>
      <w:r w:rsidRPr="00C730D3">
        <w:rPr>
          <w:rFonts w:asciiTheme="minorHAnsi" w:hAnsiTheme="minorHAnsi"/>
        </w:rPr>
        <w:t xml:space="preserve"> requirements for entry to the</w:t>
      </w:r>
      <w:r w:rsidR="00A44837" w:rsidRPr="00C730D3">
        <w:rPr>
          <w:rFonts w:asciiTheme="minorHAnsi" w:hAnsiTheme="minorHAnsi"/>
        </w:rPr>
        <w:t xml:space="preserve"> legal</w:t>
      </w:r>
      <w:r w:rsidRPr="00C730D3">
        <w:rPr>
          <w:rFonts w:asciiTheme="minorHAnsi" w:hAnsiTheme="minorHAnsi"/>
        </w:rPr>
        <w:t xml:space="preserve"> professions</w:t>
      </w:r>
      <w:r w:rsidR="00A44837" w:rsidRPr="00C730D3">
        <w:rPr>
          <w:rFonts w:asciiTheme="minorHAnsi" w:hAnsiTheme="minorHAnsi"/>
        </w:rPr>
        <w:t xml:space="preserve"> in England and Wales</w:t>
      </w:r>
      <w:r w:rsidRPr="00C730D3">
        <w:rPr>
          <w:rFonts w:asciiTheme="minorHAnsi" w:hAnsiTheme="minorHAnsi"/>
        </w:rPr>
        <w:t xml:space="preserve">. i.e. any person who has complete </w:t>
      </w:r>
      <w:r w:rsidR="00A306C6" w:rsidRPr="00C730D3">
        <w:rPr>
          <w:rFonts w:asciiTheme="minorHAnsi" w:hAnsiTheme="minorHAnsi"/>
        </w:rPr>
        <w:t>a qualifying law degree</w:t>
      </w:r>
      <w:r w:rsidRPr="00C730D3">
        <w:rPr>
          <w:rFonts w:asciiTheme="minorHAnsi" w:hAnsiTheme="minorHAnsi"/>
        </w:rPr>
        <w:t xml:space="preserve">, or a degree plus either </w:t>
      </w:r>
      <w:r w:rsidRPr="00C730D3">
        <w:rPr>
          <w:rFonts w:asciiTheme="minorHAnsi" w:eastAsia="Times New Roman" w:hAnsiTheme="minorHAnsi" w:cs="Arial"/>
          <w:color w:val="000000"/>
        </w:rPr>
        <w:t xml:space="preserve">the Common Professional Examination (CPE), or an approved Graduate Diploma in Law (GDL) course or </w:t>
      </w:r>
      <w:r w:rsidRPr="00C730D3">
        <w:rPr>
          <w:rFonts w:asciiTheme="minorHAnsi" w:hAnsiTheme="minorHAnsi"/>
        </w:rPr>
        <w:t>Solicitors Qualifying Examination</w:t>
      </w:r>
      <w:r w:rsidRPr="00C730D3">
        <w:rPr>
          <w:rFonts w:asciiTheme="minorHAnsi" w:eastAsia="Times New Roman" w:hAnsiTheme="minorHAnsi" w:cs="Arial"/>
          <w:color w:val="000000"/>
        </w:rPr>
        <w:t xml:space="preserve"> (SQE) AND who has completed a training contract or pupillage </w:t>
      </w:r>
      <w:r w:rsidRPr="00C730D3">
        <w:rPr>
          <w:rFonts w:asciiTheme="minorHAnsi" w:hAnsiTheme="minorHAnsi"/>
        </w:rPr>
        <w:t xml:space="preserve">is a qualified lawyer </w:t>
      </w:r>
      <w:r w:rsidR="00DB7422" w:rsidRPr="00C730D3">
        <w:rPr>
          <w:rFonts w:asciiTheme="minorHAnsi" w:hAnsiTheme="minorHAnsi"/>
        </w:rPr>
        <w:t xml:space="preserve">(the SQE is a new alternative route of entry to the solicitors’ profession: </w:t>
      </w:r>
      <w:r w:rsidR="00DB7422" w:rsidRPr="00C129D5">
        <w:rPr>
          <w:rFonts w:asciiTheme="minorHAnsi" w:hAnsiTheme="minorHAnsi"/>
        </w:rPr>
        <w:t>http://www.sra.org.uk/sra/news/press/sqe-ensure-high-consistent-standards.page</w:t>
      </w:r>
      <w:r w:rsidR="00DB7422" w:rsidRPr="00C730D3">
        <w:rPr>
          <w:rFonts w:asciiTheme="minorHAnsi" w:hAnsiTheme="minorHAnsi"/>
        </w:rPr>
        <w:t>)</w:t>
      </w:r>
      <w:r w:rsidRPr="00C730D3">
        <w:rPr>
          <w:rFonts w:asciiTheme="minorHAnsi" w:hAnsiTheme="minorHAnsi"/>
        </w:rPr>
        <w:t>.</w:t>
      </w:r>
    </w:p>
    <w:p w14:paraId="2FFF7532" w14:textId="77777777" w:rsidR="00AE3370" w:rsidRPr="00C730D3" w:rsidRDefault="00AE3370" w:rsidP="001E15E5">
      <w:pPr>
        <w:spacing w:line="276" w:lineRule="auto"/>
        <w:rPr>
          <w:rFonts w:asciiTheme="minorHAnsi" w:hAnsiTheme="minorHAnsi"/>
        </w:rPr>
      </w:pPr>
    </w:p>
    <w:p w14:paraId="763FD2EE" w14:textId="66E751BC" w:rsidR="00DB40C0" w:rsidRPr="00C730D3" w:rsidRDefault="00CF2AEC" w:rsidP="001E15E5">
      <w:pPr>
        <w:spacing w:line="276" w:lineRule="auto"/>
        <w:rPr>
          <w:rFonts w:asciiTheme="minorHAnsi" w:hAnsiTheme="minorHAnsi"/>
        </w:rPr>
      </w:pPr>
      <w:r w:rsidRPr="00C730D3">
        <w:rPr>
          <w:rFonts w:asciiTheme="minorHAnsi" w:hAnsiTheme="minorHAnsi"/>
        </w:rPr>
        <w:t>Having reflected on the question, w</w:t>
      </w:r>
      <w:r w:rsidR="00DB40C0" w:rsidRPr="00C730D3">
        <w:rPr>
          <w:rFonts w:asciiTheme="minorHAnsi" w:hAnsiTheme="minorHAnsi"/>
        </w:rPr>
        <w:t>e can see that the term “qualified lawyer” ought to be defined</w:t>
      </w:r>
      <w:r w:rsidR="00A44837" w:rsidRPr="00C730D3">
        <w:rPr>
          <w:rFonts w:asciiTheme="minorHAnsi" w:hAnsiTheme="minorHAnsi"/>
        </w:rPr>
        <w:t xml:space="preserve"> by insertion of a new 27.11 (11) that reads: </w:t>
      </w:r>
    </w:p>
    <w:p w14:paraId="098BF784" w14:textId="77777777" w:rsidR="00A44837" w:rsidRPr="00C730D3" w:rsidRDefault="00A44837" w:rsidP="001E15E5">
      <w:pPr>
        <w:spacing w:line="276" w:lineRule="auto"/>
        <w:rPr>
          <w:rFonts w:asciiTheme="minorHAnsi" w:hAnsiTheme="minorHAnsi"/>
          <w:i/>
        </w:rPr>
      </w:pPr>
    </w:p>
    <w:p w14:paraId="68C62484" w14:textId="5D73E5A5" w:rsidR="00A44837" w:rsidRPr="00C730D3" w:rsidRDefault="00FF79BB" w:rsidP="00495ECF">
      <w:pPr>
        <w:spacing w:line="276" w:lineRule="auto"/>
        <w:ind w:left="720"/>
      </w:pPr>
      <w:r w:rsidRPr="00C730D3">
        <w:rPr>
          <w:rFonts w:asciiTheme="minorHAnsi" w:hAnsiTheme="minorHAnsi"/>
          <w:i/>
        </w:rPr>
        <w:t>For the purposes of this rule a</w:t>
      </w:r>
      <w:r w:rsidR="00A44837" w:rsidRPr="00C730D3">
        <w:rPr>
          <w:rFonts w:asciiTheme="minorHAnsi" w:hAnsiTheme="minorHAnsi"/>
          <w:i/>
        </w:rPr>
        <w:t xml:space="preserve"> “qualified lawyer” is a person who h</w:t>
      </w:r>
      <w:r w:rsidR="00DA1B89">
        <w:rPr>
          <w:rFonts w:asciiTheme="minorHAnsi" w:hAnsiTheme="minorHAnsi"/>
          <w:i/>
        </w:rPr>
        <w:t xml:space="preserve">olds a current </w:t>
      </w:r>
      <w:proofErr w:type="spellStart"/>
      <w:r w:rsidR="00DA1B89">
        <w:rPr>
          <w:rFonts w:asciiTheme="minorHAnsi" w:hAnsiTheme="minorHAnsi"/>
          <w:i/>
        </w:rPr>
        <w:t>practising</w:t>
      </w:r>
      <w:proofErr w:type="spellEnd"/>
      <w:r w:rsidR="00DA1B89">
        <w:rPr>
          <w:rFonts w:asciiTheme="minorHAnsi" w:hAnsiTheme="minorHAnsi"/>
          <w:i/>
        </w:rPr>
        <w:t xml:space="preserve"> certificate authorizing them to conduct litigation or exercise rights of audience in the Family Court in England &amp; Wales.</w:t>
      </w:r>
    </w:p>
    <w:p w14:paraId="3887DB6B" w14:textId="689A76E0" w:rsidR="00F86D01" w:rsidRPr="00C730D3" w:rsidRDefault="00F86D01" w:rsidP="001E15E5">
      <w:pPr>
        <w:spacing w:line="276" w:lineRule="auto"/>
        <w:rPr>
          <w:rFonts w:asciiTheme="minorHAnsi" w:hAnsiTheme="minorHAnsi"/>
        </w:rPr>
      </w:pPr>
    </w:p>
    <w:p w14:paraId="72A11723" w14:textId="5DB7F297" w:rsidR="00760463" w:rsidRDefault="00DA1B89" w:rsidP="001E15E5">
      <w:pPr>
        <w:spacing w:line="276" w:lineRule="auto"/>
        <w:rPr>
          <w:rFonts w:asciiTheme="minorHAnsi" w:hAnsiTheme="minorHAnsi"/>
        </w:rPr>
      </w:pPr>
      <w:r>
        <w:rPr>
          <w:rFonts w:asciiTheme="minorHAnsi" w:hAnsiTheme="minorHAnsi"/>
        </w:rPr>
        <w:t>We wish also to</w:t>
      </w:r>
      <w:r w:rsidR="00760463" w:rsidRPr="00C730D3">
        <w:rPr>
          <w:rFonts w:asciiTheme="minorHAnsi" w:hAnsiTheme="minorHAnsi"/>
        </w:rPr>
        <w:t xml:space="preserve"> permit </w:t>
      </w:r>
      <w:r w:rsidR="001E15E5">
        <w:rPr>
          <w:rFonts w:asciiTheme="minorHAnsi" w:hAnsiTheme="minorHAnsi"/>
        </w:rPr>
        <w:t>(</w:t>
      </w:r>
      <w:r w:rsidR="00760463" w:rsidRPr="00C730D3">
        <w:rPr>
          <w:rFonts w:asciiTheme="minorHAnsi" w:hAnsiTheme="minorHAnsi"/>
        </w:rPr>
        <w:t>non-</w:t>
      </w:r>
      <w:proofErr w:type="spellStart"/>
      <w:r w:rsidR="00760463" w:rsidRPr="00C730D3">
        <w:rPr>
          <w:rFonts w:asciiTheme="minorHAnsi" w:hAnsiTheme="minorHAnsi"/>
        </w:rPr>
        <w:t>practising</w:t>
      </w:r>
      <w:proofErr w:type="spellEnd"/>
      <w:r w:rsidR="001E15E5">
        <w:rPr>
          <w:rFonts w:asciiTheme="minorHAnsi" w:hAnsiTheme="minorHAnsi"/>
        </w:rPr>
        <w:t>)</w:t>
      </w:r>
      <w:r w:rsidR="00760463" w:rsidRPr="00C730D3">
        <w:rPr>
          <w:rFonts w:asciiTheme="minorHAnsi" w:hAnsiTheme="minorHAnsi"/>
        </w:rPr>
        <w:t xml:space="preserve"> lawyer</w:t>
      </w:r>
      <w:r w:rsidR="001E15E5">
        <w:rPr>
          <w:rFonts w:asciiTheme="minorHAnsi" w:hAnsiTheme="minorHAnsi"/>
        </w:rPr>
        <w:t>s</w:t>
      </w:r>
      <w:r w:rsidR="00760463" w:rsidRPr="00C730D3">
        <w:rPr>
          <w:rFonts w:asciiTheme="minorHAnsi" w:hAnsiTheme="minorHAnsi"/>
        </w:rPr>
        <w:t xml:space="preserve"> who </w:t>
      </w:r>
      <w:r w:rsidR="001E15E5">
        <w:rPr>
          <w:rFonts w:asciiTheme="minorHAnsi" w:hAnsiTheme="minorHAnsi"/>
        </w:rPr>
        <w:t>are</w:t>
      </w:r>
      <w:r w:rsidR="00760463" w:rsidRPr="00C730D3">
        <w:rPr>
          <w:rFonts w:asciiTheme="minorHAnsi" w:hAnsiTheme="minorHAnsi"/>
        </w:rPr>
        <w:t xml:space="preserve"> involved in relevant research or teaching to access family court hearings. Whilst that might theoretically include some lawyers who had not completed the vocational and professional elements of qualification and some who had never been in practice, </w:t>
      </w:r>
      <w:r w:rsidR="00793FF8" w:rsidRPr="00C730D3">
        <w:rPr>
          <w:rFonts w:asciiTheme="minorHAnsi" w:hAnsiTheme="minorHAnsi"/>
        </w:rPr>
        <w:t>many</w:t>
      </w:r>
      <w:r w:rsidR="00760463" w:rsidRPr="00C730D3">
        <w:rPr>
          <w:rFonts w:asciiTheme="minorHAnsi" w:hAnsiTheme="minorHAnsi"/>
        </w:rPr>
        <w:t xml:space="preserve"> academic lawyers will at some stage have been in practice</w:t>
      </w:r>
      <w:r>
        <w:rPr>
          <w:rFonts w:asciiTheme="minorHAnsi" w:hAnsiTheme="minorHAnsi"/>
        </w:rPr>
        <w:t xml:space="preserve"> and all will hold legal knowledge above and beyond that held by the general public</w:t>
      </w:r>
      <w:r w:rsidR="00760463" w:rsidRPr="00C730D3">
        <w:rPr>
          <w:rFonts w:asciiTheme="minorHAnsi" w:hAnsiTheme="minorHAnsi"/>
        </w:rPr>
        <w:t>. In any event</w:t>
      </w:r>
      <w:r w:rsidR="00793FF8" w:rsidRPr="00C730D3">
        <w:rPr>
          <w:rFonts w:asciiTheme="minorHAnsi" w:hAnsiTheme="minorHAnsi"/>
        </w:rPr>
        <w:t>,</w:t>
      </w:r>
      <w:r w:rsidR="00760463" w:rsidRPr="00C730D3">
        <w:rPr>
          <w:rFonts w:asciiTheme="minorHAnsi" w:hAnsiTheme="minorHAnsi"/>
        </w:rPr>
        <w:t xml:space="preserve"> even those lawyers who have not been in practice will be selected, monitored and accountable to their employer / </w:t>
      </w:r>
      <w:r w:rsidR="001E15E5">
        <w:rPr>
          <w:rFonts w:asciiTheme="minorHAnsi" w:hAnsiTheme="minorHAnsi"/>
        </w:rPr>
        <w:t>Higher Education Institution (HEI)</w:t>
      </w:r>
      <w:r w:rsidR="001E15E5" w:rsidRPr="00C730D3">
        <w:rPr>
          <w:rFonts w:asciiTheme="minorHAnsi" w:hAnsiTheme="minorHAnsi"/>
        </w:rPr>
        <w:t xml:space="preserve"> </w:t>
      </w:r>
      <w:r w:rsidR="00760463" w:rsidRPr="00C730D3">
        <w:rPr>
          <w:rFonts w:asciiTheme="minorHAnsi" w:hAnsiTheme="minorHAnsi"/>
        </w:rPr>
        <w:t xml:space="preserve">/ funding body / </w:t>
      </w:r>
      <w:r w:rsidR="00F116B1" w:rsidRPr="00C730D3">
        <w:rPr>
          <w:rFonts w:asciiTheme="minorHAnsi" w:hAnsiTheme="minorHAnsi"/>
        </w:rPr>
        <w:t xml:space="preserve">University </w:t>
      </w:r>
      <w:r w:rsidR="00760463" w:rsidRPr="00C730D3">
        <w:rPr>
          <w:rFonts w:asciiTheme="minorHAnsi" w:hAnsiTheme="minorHAnsi"/>
        </w:rPr>
        <w:t>Ethics Committee.</w:t>
      </w:r>
    </w:p>
    <w:p w14:paraId="2C3079DA" w14:textId="77777777" w:rsidR="001E15E5" w:rsidRDefault="001E15E5" w:rsidP="001E15E5">
      <w:pPr>
        <w:spacing w:line="276" w:lineRule="auto"/>
        <w:rPr>
          <w:rFonts w:asciiTheme="minorHAnsi" w:hAnsiTheme="minorHAnsi"/>
        </w:rPr>
      </w:pPr>
    </w:p>
    <w:p w14:paraId="5ABF66A0" w14:textId="64F70BBA" w:rsidR="001E15E5" w:rsidRPr="00C730D3" w:rsidRDefault="001E15E5" w:rsidP="001E15E5">
      <w:pPr>
        <w:spacing w:line="276" w:lineRule="auto"/>
        <w:rPr>
          <w:rFonts w:asciiTheme="minorHAnsi" w:hAnsiTheme="minorHAnsi"/>
        </w:rPr>
      </w:pPr>
      <w:r>
        <w:rPr>
          <w:rFonts w:asciiTheme="minorHAnsi" w:hAnsiTheme="minorHAnsi"/>
        </w:rPr>
        <w:t>Finally, we wish to permit (non-</w:t>
      </w:r>
      <w:proofErr w:type="spellStart"/>
      <w:r>
        <w:rPr>
          <w:rFonts w:asciiTheme="minorHAnsi" w:hAnsiTheme="minorHAnsi"/>
        </w:rPr>
        <w:t>practising</w:t>
      </w:r>
      <w:proofErr w:type="spellEnd"/>
      <w:r>
        <w:rPr>
          <w:rFonts w:asciiTheme="minorHAnsi" w:hAnsiTheme="minorHAnsi"/>
        </w:rPr>
        <w:t xml:space="preserve">) lawyers who retain sufficient current knowledge to responsibly report to do so through an approved educational charity. </w:t>
      </w:r>
    </w:p>
    <w:p w14:paraId="29018BFB" w14:textId="77777777" w:rsidR="00760463" w:rsidRDefault="00760463" w:rsidP="001E15E5">
      <w:pPr>
        <w:spacing w:line="276" w:lineRule="auto"/>
        <w:rPr>
          <w:rFonts w:asciiTheme="minorHAnsi" w:hAnsiTheme="minorHAnsi"/>
        </w:rPr>
      </w:pPr>
    </w:p>
    <w:p w14:paraId="06DE5B7E" w14:textId="77777777" w:rsidR="00495ECF" w:rsidRPr="004C1699" w:rsidRDefault="00495ECF" w:rsidP="00495ECF">
      <w:pPr>
        <w:spacing w:line="276" w:lineRule="auto"/>
        <w:rPr>
          <w:rFonts w:asciiTheme="minorHAnsi" w:hAnsiTheme="minorHAnsi"/>
          <w:b/>
        </w:rPr>
      </w:pPr>
      <w:r w:rsidRPr="004C1699">
        <w:rPr>
          <w:rFonts w:asciiTheme="minorHAnsi" w:hAnsiTheme="minorHAnsi"/>
          <w:b/>
        </w:rPr>
        <w:t>Safeguards around lawyers</w:t>
      </w:r>
    </w:p>
    <w:p w14:paraId="4B729C2E" w14:textId="77777777" w:rsidR="00495ECF" w:rsidRPr="00C730D3" w:rsidRDefault="00495ECF" w:rsidP="001E15E5">
      <w:pPr>
        <w:spacing w:line="276" w:lineRule="auto"/>
        <w:rPr>
          <w:rFonts w:asciiTheme="minorHAnsi" w:hAnsiTheme="minorHAnsi"/>
        </w:rPr>
      </w:pPr>
    </w:p>
    <w:p w14:paraId="794476A7" w14:textId="51A44A41" w:rsidR="00793FF8" w:rsidRPr="00C730D3" w:rsidRDefault="00DA1B89" w:rsidP="001E15E5">
      <w:pPr>
        <w:spacing w:line="276" w:lineRule="auto"/>
        <w:rPr>
          <w:rFonts w:asciiTheme="minorHAnsi" w:hAnsiTheme="minorHAnsi"/>
        </w:rPr>
      </w:pPr>
      <w:r>
        <w:rPr>
          <w:rFonts w:asciiTheme="minorHAnsi" w:hAnsiTheme="minorHAnsi"/>
        </w:rPr>
        <w:t>We</w:t>
      </w:r>
      <w:r w:rsidR="00AE3370" w:rsidRPr="00C730D3">
        <w:rPr>
          <w:rFonts w:asciiTheme="minorHAnsi" w:hAnsiTheme="minorHAnsi"/>
        </w:rPr>
        <w:t xml:space="preserve"> do not propose that any</w:t>
      </w:r>
      <w:r w:rsidR="00793FF8" w:rsidRPr="00C730D3">
        <w:rPr>
          <w:rFonts w:asciiTheme="minorHAnsi" w:hAnsiTheme="minorHAnsi"/>
        </w:rPr>
        <w:t>one who is simply a</w:t>
      </w:r>
      <w:r w:rsidR="00AE3370" w:rsidRPr="00C730D3">
        <w:rPr>
          <w:rFonts w:asciiTheme="minorHAnsi" w:hAnsiTheme="minorHAnsi"/>
        </w:rPr>
        <w:t xml:space="preserve"> </w:t>
      </w:r>
      <w:r w:rsidR="00760463" w:rsidRPr="00C730D3">
        <w:rPr>
          <w:rFonts w:asciiTheme="minorHAnsi" w:hAnsiTheme="minorHAnsi"/>
        </w:rPr>
        <w:t>law graduate</w:t>
      </w:r>
      <w:r w:rsidR="00AE3370" w:rsidRPr="00C730D3">
        <w:rPr>
          <w:rFonts w:asciiTheme="minorHAnsi" w:hAnsiTheme="minorHAnsi"/>
        </w:rPr>
        <w:t xml:space="preserve"> should be able to attend court</w:t>
      </w:r>
      <w:r w:rsidR="00760463" w:rsidRPr="00C730D3">
        <w:rPr>
          <w:rFonts w:asciiTheme="minorHAnsi" w:hAnsiTheme="minorHAnsi"/>
        </w:rPr>
        <w:t>,</w:t>
      </w:r>
      <w:r w:rsidR="00AE3370" w:rsidRPr="00C730D3">
        <w:rPr>
          <w:rFonts w:asciiTheme="minorHAnsi" w:hAnsiTheme="minorHAnsi"/>
        </w:rPr>
        <w:t xml:space="preserve"> without more. We propose that only those lawyers who </w:t>
      </w:r>
      <w:proofErr w:type="gramStart"/>
      <w:r w:rsidR="00AE3370" w:rsidRPr="00C730D3">
        <w:rPr>
          <w:rFonts w:asciiTheme="minorHAnsi" w:hAnsiTheme="minorHAnsi"/>
        </w:rPr>
        <w:t>are</w:t>
      </w:r>
      <w:r w:rsidR="00C129D5">
        <w:rPr>
          <w:rFonts w:asciiTheme="minorHAnsi" w:hAnsiTheme="minorHAnsi"/>
        </w:rPr>
        <w:t xml:space="preserve"> :</w:t>
      </w:r>
      <w:proofErr w:type="gramEnd"/>
    </w:p>
    <w:p w14:paraId="650F5B61" w14:textId="77777777" w:rsidR="00793FF8" w:rsidRPr="00C730D3" w:rsidRDefault="00793FF8" w:rsidP="001E15E5">
      <w:pPr>
        <w:spacing w:line="276" w:lineRule="auto"/>
        <w:rPr>
          <w:rFonts w:asciiTheme="minorHAnsi" w:hAnsiTheme="minorHAnsi"/>
        </w:rPr>
      </w:pPr>
    </w:p>
    <w:p w14:paraId="3EDA2C6A" w14:textId="46469E79" w:rsidR="00793FF8" w:rsidRPr="00C730D3" w:rsidRDefault="00AE3370" w:rsidP="001E15E5">
      <w:pPr>
        <w:pStyle w:val="ListParagraph"/>
        <w:numPr>
          <w:ilvl w:val="0"/>
          <w:numId w:val="6"/>
        </w:numPr>
        <w:spacing w:line="276" w:lineRule="auto"/>
      </w:pPr>
      <w:r w:rsidRPr="00C730D3">
        <w:t xml:space="preserve">currently regulated by the BSB or SRA (and who can produce a </w:t>
      </w:r>
      <w:proofErr w:type="spellStart"/>
      <w:r w:rsidRPr="00C730D3">
        <w:t>practising</w:t>
      </w:r>
      <w:proofErr w:type="spellEnd"/>
      <w:r w:rsidRPr="00C730D3">
        <w:t xml:space="preserve"> certificate)</w:t>
      </w:r>
      <w:r w:rsidR="00793FF8" w:rsidRPr="00C730D3">
        <w:t>, or</w:t>
      </w:r>
      <w:r w:rsidRPr="00C730D3">
        <w:t xml:space="preserve"> </w:t>
      </w:r>
    </w:p>
    <w:p w14:paraId="17976F29" w14:textId="74E26E48" w:rsidR="00793FF8" w:rsidRPr="00C730D3" w:rsidRDefault="00AE3370" w:rsidP="001E15E5">
      <w:pPr>
        <w:pStyle w:val="ListParagraph"/>
        <w:numPr>
          <w:ilvl w:val="0"/>
          <w:numId w:val="6"/>
        </w:numPr>
        <w:spacing w:line="276" w:lineRule="auto"/>
      </w:pPr>
      <w:r w:rsidRPr="00C730D3">
        <w:t xml:space="preserve"> currently employed or operating under the auspices of a </w:t>
      </w:r>
      <w:r w:rsidR="001E15E5">
        <w:t>HEI</w:t>
      </w:r>
      <w:r w:rsidR="003B0702" w:rsidRPr="00C730D3">
        <w:t xml:space="preserve"> law school or department in a teaching or research capacity</w:t>
      </w:r>
      <w:r w:rsidRPr="00C730D3">
        <w:t xml:space="preserve"> (and who can provide written confirmation of the same)</w:t>
      </w:r>
      <w:r w:rsidR="00793FF8" w:rsidRPr="00C730D3">
        <w:t>, or</w:t>
      </w:r>
    </w:p>
    <w:p w14:paraId="1FD82DFE" w14:textId="41C1D16B" w:rsidR="00793FF8" w:rsidRPr="00C730D3" w:rsidRDefault="00216EB5" w:rsidP="001E15E5">
      <w:pPr>
        <w:pStyle w:val="ListParagraph"/>
        <w:numPr>
          <w:ilvl w:val="0"/>
          <w:numId w:val="6"/>
        </w:numPr>
        <w:spacing w:line="276" w:lineRule="auto"/>
      </w:pPr>
      <w:r w:rsidRPr="00C730D3">
        <w:t xml:space="preserve"> operating via an approved educational charity</w:t>
      </w:r>
    </w:p>
    <w:p w14:paraId="33A0367E" w14:textId="77777777" w:rsidR="00793FF8" w:rsidRPr="00C730D3" w:rsidRDefault="00793FF8" w:rsidP="001E15E5">
      <w:pPr>
        <w:pStyle w:val="ListParagraph"/>
        <w:spacing w:line="276" w:lineRule="auto"/>
      </w:pPr>
    </w:p>
    <w:p w14:paraId="4EF97AAA" w14:textId="2DADC1C9" w:rsidR="00AE3370" w:rsidRPr="00C730D3" w:rsidRDefault="00AE3370" w:rsidP="001E15E5">
      <w:pPr>
        <w:spacing w:line="276" w:lineRule="auto"/>
        <w:rPr>
          <w:rFonts w:asciiTheme="minorHAnsi" w:hAnsiTheme="minorHAnsi"/>
        </w:rPr>
      </w:pPr>
      <w:r w:rsidRPr="00C730D3">
        <w:rPr>
          <w:rFonts w:asciiTheme="minorHAnsi" w:hAnsiTheme="minorHAnsi"/>
        </w:rPr>
        <w:t xml:space="preserve">should be able to take advantage of this rule change. </w:t>
      </w:r>
      <w:r w:rsidR="0054285E" w:rsidRPr="00C730D3">
        <w:rPr>
          <w:rFonts w:asciiTheme="minorHAnsi" w:hAnsiTheme="minorHAnsi"/>
        </w:rPr>
        <w:t>It would remain open to an individual court to give access to a non</w:t>
      </w:r>
      <w:r w:rsidR="00094D15" w:rsidRPr="00C730D3">
        <w:rPr>
          <w:rFonts w:asciiTheme="minorHAnsi" w:hAnsiTheme="minorHAnsi"/>
        </w:rPr>
        <w:t>-</w:t>
      </w:r>
      <w:proofErr w:type="spellStart"/>
      <w:r w:rsidR="0054285E" w:rsidRPr="00C730D3">
        <w:rPr>
          <w:rFonts w:asciiTheme="minorHAnsi" w:hAnsiTheme="minorHAnsi"/>
        </w:rPr>
        <w:t>practising</w:t>
      </w:r>
      <w:proofErr w:type="spellEnd"/>
      <w:r w:rsidR="0054285E" w:rsidRPr="00C730D3">
        <w:rPr>
          <w:rFonts w:asciiTheme="minorHAnsi" w:hAnsiTheme="minorHAnsi"/>
        </w:rPr>
        <w:t xml:space="preserve"> law graduate who was not affiliated to any HEI or EC under the existing rules if they considered that appropriate, just as a court can permit any other person to attend even without a law degree or press card</w:t>
      </w:r>
      <w:r w:rsidR="00094D15" w:rsidRPr="00C730D3">
        <w:rPr>
          <w:rFonts w:asciiTheme="minorHAnsi" w:hAnsiTheme="minorHAnsi"/>
        </w:rPr>
        <w:t xml:space="preserve"> (e.g. a </w:t>
      </w:r>
      <w:proofErr w:type="spellStart"/>
      <w:proofErr w:type="gramStart"/>
      <w:r w:rsidR="00094D15" w:rsidRPr="00C730D3">
        <w:rPr>
          <w:rFonts w:asciiTheme="minorHAnsi" w:hAnsiTheme="minorHAnsi"/>
        </w:rPr>
        <w:t>non legally</w:t>
      </w:r>
      <w:proofErr w:type="spellEnd"/>
      <w:proofErr w:type="gramEnd"/>
      <w:r w:rsidR="00094D15" w:rsidRPr="00C730D3">
        <w:rPr>
          <w:rFonts w:asciiTheme="minorHAnsi" w:hAnsiTheme="minorHAnsi"/>
        </w:rPr>
        <w:t xml:space="preserve"> qualified academic researcher</w:t>
      </w:r>
      <w:r w:rsidR="000636A2" w:rsidRPr="00C730D3">
        <w:rPr>
          <w:rFonts w:asciiTheme="minorHAnsi" w:hAnsiTheme="minorHAnsi"/>
        </w:rPr>
        <w:t>, an NGO representative or other relevant professional</w:t>
      </w:r>
      <w:r w:rsidR="00094D15" w:rsidRPr="00C730D3">
        <w:rPr>
          <w:rFonts w:asciiTheme="minorHAnsi" w:hAnsiTheme="minorHAnsi"/>
        </w:rPr>
        <w:t>)</w:t>
      </w:r>
      <w:r w:rsidR="0054285E" w:rsidRPr="00C730D3">
        <w:rPr>
          <w:rFonts w:asciiTheme="minorHAnsi" w:hAnsiTheme="minorHAnsi"/>
        </w:rPr>
        <w:t>.</w:t>
      </w:r>
    </w:p>
    <w:p w14:paraId="04274956" w14:textId="77777777" w:rsidR="00AE3370" w:rsidRPr="00C730D3" w:rsidRDefault="00AE3370" w:rsidP="001E15E5">
      <w:pPr>
        <w:spacing w:line="276" w:lineRule="auto"/>
        <w:rPr>
          <w:rFonts w:asciiTheme="minorHAnsi" w:hAnsiTheme="minorHAnsi"/>
        </w:rPr>
      </w:pPr>
    </w:p>
    <w:p w14:paraId="72350EFA" w14:textId="2740A36E" w:rsidR="00AE3370" w:rsidRPr="00C730D3" w:rsidRDefault="00770DEA" w:rsidP="001E15E5">
      <w:pPr>
        <w:spacing w:line="276" w:lineRule="auto"/>
        <w:rPr>
          <w:rFonts w:asciiTheme="minorHAnsi" w:hAnsiTheme="minorHAnsi"/>
        </w:rPr>
      </w:pPr>
      <w:r w:rsidRPr="00C730D3">
        <w:rPr>
          <w:rFonts w:asciiTheme="minorHAnsi" w:hAnsiTheme="minorHAnsi"/>
        </w:rPr>
        <w:t>As such</w:t>
      </w:r>
      <w:r w:rsidR="00793FF8" w:rsidRPr="00C730D3">
        <w:rPr>
          <w:rFonts w:asciiTheme="minorHAnsi" w:hAnsiTheme="minorHAnsi"/>
        </w:rPr>
        <w:t>,</w:t>
      </w:r>
      <w:r w:rsidRPr="00C730D3">
        <w:rPr>
          <w:rFonts w:asciiTheme="minorHAnsi" w:hAnsiTheme="minorHAnsi"/>
        </w:rPr>
        <w:t xml:space="preserve"> </w:t>
      </w:r>
      <w:r w:rsidR="00216EB5" w:rsidRPr="00C730D3">
        <w:rPr>
          <w:rFonts w:asciiTheme="minorHAnsi" w:hAnsiTheme="minorHAnsi"/>
        </w:rPr>
        <w:t>all three</w:t>
      </w:r>
      <w:r w:rsidRPr="00C730D3">
        <w:rPr>
          <w:rFonts w:asciiTheme="minorHAnsi" w:hAnsiTheme="minorHAnsi"/>
        </w:rPr>
        <w:t xml:space="preserve"> categories of lawyer would be </w:t>
      </w:r>
      <w:r w:rsidR="000636A2" w:rsidRPr="00C730D3">
        <w:rPr>
          <w:rFonts w:asciiTheme="minorHAnsi" w:hAnsiTheme="minorHAnsi"/>
        </w:rPr>
        <w:t>accountable to their</w:t>
      </w:r>
      <w:r w:rsidRPr="00C730D3">
        <w:rPr>
          <w:rFonts w:asciiTheme="minorHAnsi" w:hAnsiTheme="minorHAnsi"/>
        </w:rPr>
        <w:t xml:space="preserve"> own regulator / </w:t>
      </w:r>
      <w:r w:rsidR="00760463" w:rsidRPr="00C730D3">
        <w:rPr>
          <w:rFonts w:asciiTheme="minorHAnsi" w:hAnsiTheme="minorHAnsi"/>
        </w:rPr>
        <w:t>supervising institution</w:t>
      </w:r>
      <w:r w:rsidR="000636A2" w:rsidRPr="00C730D3">
        <w:rPr>
          <w:rFonts w:asciiTheme="minorHAnsi" w:hAnsiTheme="minorHAnsi"/>
        </w:rPr>
        <w:t>, which have rules and guidance on good conduct within legal and ethical frameworks, including media engagement and social media use.</w:t>
      </w:r>
      <w:r w:rsidRPr="00C730D3">
        <w:rPr>
          <w:rFonts w:asciiTheme="minorHAnsi" w:hAnsiTheme="minorHAnsi"/>
        </w:rPr>
        <w:t xml:space="preserve"> </w:t>
      </w:r>
    </w:p>
    <w:p w14:paraId="788C897F" w14:textId="77777777" w:rsidR="00770DEA" w:rsidRPr="00C730D3" w:rsidRDefault="00770DEA" w:rsidP="001E15E5">
      <w:pPr>
        <w:spacing w:line="276" w:lineRule="auto"/>
        <w:rPr>
          <w:rFonts w:asciiTheme="minorHAnsi" w:hAnsiTheme="minorHAnsi"/>
        </w:rPr>
      </w:pPr>
    </w:p>
    <w:p w14:paraId="4283D6EE" w14:textId="77777777" w:rsidR="00770DEA" w:rsidRPr="00C730D3" w:rsidRDefault="00770DEA" w:rsidP="001E15E5">
      <w:pPr>
        <w:spacing w:line="276" w:lineRule="auto"/>
        <w:rPr>
          <w:rFonts w:asciiTheme="minorHAnsi" w:hAnsiTheme="minorHAnsi"/>
        </w:rPr>
      </w:pPr>
      <w:r w:rsidRPr="00C730D3">
        <w:rPr>
          <w:rFonts w:asciiTheme="minorHAnsi" w:hAnsiTheme="minorHAnsi"/>
        </w:rPr>
        <w:t xml:space="preserve">In the case of a </w:t>
      </w:r>
      <w:proofErr w:type="spellStart"/>
      <w:r w:rsidRPr="00C730D3">
        <w:rPr>
          <w:rFonts w:asciiTheme="minorHAnsi" w:hAnsiTheme="minorHAnsi"/>
        </w:rPr>
        <w:t>practising</w:t>
      </w:r>
      <w:proofErr w:type="spellEnd"/>
      <w:r w:rsidRPr="00C730D3">
        <w:rPr>
          <w:rFonts w:asciiTheme="minorHAnsi" w:hAnsiTheme="minorHAnsi"/>
        </w:rPr>
        <w:t xml:space="preserve"> lawyer, we consider that these individuals would be mindful of their own professional reputations and the need to comply with their own codes of conduct and regulatory requirements. They would, we suggest, be very unlikely to act incautiously in the publication of material that was prohibited by section 12 AJA, partly because as qualified lawyers they would have a sufficient knowledge of the relevant restrictions or the legal knowledge to be able to appraise themselves of such restrictions, but more particularly because of the desire not to be censured or held in contempt of court or to commit a criminal offence pursuant to s97 CA 1989. Whilst in practice prosecutions / sanctions for the wrongful publication of material connected to family proceedings is rare, the risk of reputational damage or misconduct charges is sufficient to promote appropriately cautious conduct. </w:t>
      </w:r>
    </w:p>
    <w:p w14:paraId="56D943CC" w14:textId="77777777" w:rsidR="00770DEA" w:rsidRPr="00C730D3" w:rsidRDefault="00770DEA" w:rsidP="001E15E5">
      <w:pPr>
        <w:spacing w:line="276" w:lineRule="auto"/>
        <w:rPr>
          <w:rFonts w:asciiTheme="minorHAnsi" w:hAnsiTheme="minorHAnsi"/>
        </w:rPr>
      </w:pPr>
    </w:p>
    <w:p w14:paraId="680AD30E" w14:textId="553F597F" w:rsidR="00770DEA" w:rsidRPr="00C730D3" w:rsidRDefault="00770DEA" w:rsidP="001E15E5">
      <w:pPr>
        <w:spacing w:line="276" w:lineRule="auto"/>
        <w:rPr>
          <w:rFonts w:asciiTheme="minorHAnsi" w:hAnsiTheme="minorHAnsi"/>
        </w:rPr>
      </w:pPr>
      <w:r w:rsidRPr="00C730D3">
        <w:rPr>
          <w:rFonts w:asciiTheme="minorHAnsi" w:hAnsiTheme="minorHAnsi"/>
        </w:rPr>
        <w:t xml:space="preserve">It is our experience </w:t>
      </w:r>
      <w:r w:rsidR="000636A2" w:rsidRPr="00C730D3">
        <w:rPr>
          <w:rFonts w:asciiTheme="minorHAnsi" w:hAnsiTheme="minorHAnsi"/>
        </w:rPr>
        <w:t>that responsible</w:t>
      </w:r>
      <w:r w:rsidRPr="00C730D3">
        <w:rPr>
          <w:rFonts w:asciiTheme="minorHAnsi" w:hAnsiTheme="minorHAnsi"/>
        </w:rPr>
        <w:t xml:space="preserve"> legal bloggers </w:t>
      </w:r>
      <w:r w:rsidR="000636A2" w:rsidRPr="00C730D3">
        <w:rPr>
          <w:rFonts w:asciiTheme="minorHAnsi" w:hAnsiTheme="minorHAnsi"/>
        </w:rPr>
        <w:t>wish to</w:t>
      </w:r>
      <w:r w:rsidRPr="00C730D3">
        <w:rPr>
          <w:rFonts w:asciiTheme="minorHAnsi" w:hAnsiTheme="minorHAnsi"/>
        </w:rPr>
        <w:t xml:space="preserve"> avoid any suggestion of improperly publishing information or of </w:t>
      </w:r>
      <w:r w:rsidR="00920638" w:rsidRPr="00C730D3">
        <w:rPr>
          <w:rFonts w:asciiTheme="minorHAnsi" w:hAnsiTheme="minorHAnsi"/>
        </w:rPr>
        <w:t>behaving inappropriately</w:t>
      </w:r>
      <w:r w:rsidR="000636A2" w:rsidRPr="00C730D3">
        <w:rPr>
          <w:rFonts w:asciiTheme="minorHAnsi" w:hAnsiTheme="minorHAnsi"/>
        </w:rPr>
        <w:t xml:space="preserve"> and this acts as a useful self-regulatory mechanism.</w:t>
      </w:r>
      <w:r w:rsidR="00D7247F">
        <w:rPr>
          <w:rFonts w:asciiTheme="minorHAnsi" w:hAnsiTheme="minorHAnsi"/>
        </w:rPr>
        <w:t xml:space="preserve"> </w:t>
      </w:r>
      <w:r w:rsidR="000636A2" w:rsidRPr="00C730D3">
        <w:rPr>
          <w:rFonts w:asciiTheme="minorHAnsi" w:hAnsiTheme="minorHAnsi"/>
        </w:rPr>
        <w:t>I</w:t>
      </w:r>
      <w:r w:rsidR="00920638" w:rsidRPr="00C730D3">
        <w:rPr>
          <w:rFonts w:asciiTheme="minorHAnsi" w:hAnsiTheme="minorHAnsi"/>
        </w:rPr>
        <w:t xml:space="preserve">n our </w:t>
      </w:r>
      <w:proofErr w:type="gramStart"/>
      <w:r w:rsidR="00920638" w:rsidRPr="00C730D3">
        <w:rPr>
          <w:rFonts w:asciiTheme="minorHAnsi" w:hAnsiTheme="minorHAnsi"/>
        </w:rPr>
        <w:t>work</w:t>
      </w:r>
      <w:proofErr w:type="gramEnd"/>
      <w:r w:rsidR="00920638" w:rsidRPr="00C730D3">
        <w:rPr>
          <w:rFonts w:asciiTheme="minorHAnsi" w:hAnsiTheme="minorHAnsi"/>
        </w:rPr>
        <w:t xml:space="preserve"> there have been a number of occasions where we have felt constrained </w:t>
      </w:r>
      <w:r w:rsidR="00920638" w:rsidRPr="00C730D3">
        <w:rPr>
          <w:rFonts w:asciiTheme="minorHAnsi" w:hAnsiTheme="minorHAnsi"/>
          <w:i/>
        </w:rPr>
        <w:t>not to</w:t>
      </w:r>
      <w:r w:rsidR="00920638" w:rsidRPr="00C730D3">
        <w:rPr>
          <w:rFonts w:asciiTheme="minorHAnsi" w:hAnsiTheme="minorHAnsi"/>
        </w:rPr>
        <w:t xml:space="preserve"> publish information which the press have later gone on to publish. We think that the likelihood of misuse is very low, partly because of the inherent legal expertise of those attending, and partly because of the professional caution we describe. We think that the risk of willful misuse as opposed to inadvertent misuse would be very low indeed, because such conduct could be career ending.</w:t>
      </w:r>
    </w:p>
    <w:p w14:paraId="024FBA26" w14:textId="77777777" w:rsidR="00920638" w:rsidRPr="00C730D3" w:rsidRDefault="00920638" w:rsidP="001E15E5">
      <w:pPr>
        <w:spacing w:line="276" w:lineRule="auto"/>
        <w:rPr>
          <w:rFonts w:asciiTheme="minorHAnsi" w:hAnsiTheme="minorHAnsi"/>
        </w:rPr>
      </w:pPr>
    </w:p>
    <w:p w14:paraId="47A4F329" w14:textId="6179CC56" w:rsidR="00920638" w:rsidRPr="00C730D3" w:rsidRDefault="00920638" w:rsidP="001E15E5">
      <w:pPr>
        <w:spacing w:line="276" w:lineRule="auto"/>
        <w:rPr>
          <w:rFonts w:asciiTheme="minorHAnsi" w:hAnsiTheme="minorHAnsi"/>
        </w:rPr>
      </w:pPr>
      <w:r w:rsidRPr="00C730D3">
        <w:rPr>
          <w:rFonts w:asciiTheme="minorHAnsi" w:hAnsiTheme="minorHAnsi"/>
        </w:rPr>
        <w:t>The code of conduct for the bar includes the following relevant core duties:</w:t>
      </w:r>
    </w:p>
    <w:p w14:paraId="1E113DF2" w14:textId="77777777" w:rsidR="00920638" w:rsidRPr="00C730D3" w:rsidRDefault="00920638" w:rsidP="001E15E5">
      <w:pPr>
        <w:spacing w:line="276" w:lineRule="auto"/>
        <w:rPr>
          <w:rFonts w:asciiTheme="minorHAnsi" w:hAnsiTheme="minorHAnsi"/>
        </w:rPr>
      </w:pPr>
    </w:p>
    <w:p w14:paraId="1682336D" w14:textId="77777777" w:rsidR="00920638" w:rsidRPr="00C730D3" w:rsidRDefault="00920638" w:rsidP="001E15E5">
      <w:pPr>
        <w:pStyle w:val="ListParagraph"/>
        <w:numPr>
          <w:ilvl w:val="0"/>
          <w:numId w:val="3"/>
        </w:numPr>
        <w:shd w:val="clear" w:color="auto" w:fill="FFFFFF"/>
        <w:spacing w:after="240" w:line="276" w:lineRule="auto"/>
        <w:rPr>
          <w:rFonts w:cs="Arial"/>
          <w:i/>
          <w:color w:val="000000"/>
        </w:rPr>
      </w:pPr>
      <w:r w:rsidRPr="00C730D3">
        <w:rPr>
          <w:rFonts w:cs="Arial"/>
          <w:bCs/>
          <w:i/>
          <w:color w:val="000000"/>
        </w:rPr>
        <w:t>You must observe your duty to the court in the administration of justice </w:t>
      </w:r>
    </w:p>
    <w:p w14:paraId="1BFB8D27" w14:textId="77777777" w:rsidR="00920638" w:rsidRPr="00C730D3" w:rsidRDefault="00920638" w:rsidP="001E15E5">
      <w:pPr>
        <w:pStyle w:val="ListParagraph"/>
        <w:numPr>
          <w:ilvl w:val="0"/>
          <w:numId w:val="3"/>
        </w:numPr>
        <w:shd w:val="clear" w:color="auto" w:fill="FFFFFF"/>
        <w:spacing w:after="240" w:line="276" w:lineRule="auto"/>
        <w:rPr>
          <w:rFonts w:cs="Arial"/>
          <w:i/>
          <w:color w:val="000000"/>
        </w:rPr>
      </w:pPr>
      <w:r w:rsidRPr="00C730D3">
        <w:rPr>
          <w:rFonts w:cs="Arial"/>
          <w:bCs/>
          <w:i/>
          <w:color w:val="000000"/>
        </w:rPr>
        <w:t>You must act with honesty and integrity </w:t>
      </w:r>
    </w:p>
    <w:p w14:paraId="1C62DF9F" w14:textId="77777777" w:rsidR="00920638" w:rsidRPr="00C730D3" w:rsidRDefault="00920638" w:rsidP="001E15E5">
      <w:pPr>
        <w:pStyle w:val="ListParagraph"/>
        <w:numPr>
          <w:ilvl w:val="0"/>
          <w:numId w:val="3"/>
        </w:numPr>
        <w:shd w:val="clear" w:color="auto" w:fill="FFFFFF"/>
        <w:spacing w:after="240" w:line="276" w:lineRule="auto"/>
        <w:rPr>
          <w:rFonts w:cs="Arial"/>
          <w:i/>
          <w:color w:val="000000"/>
        </w:rPr>
      </w:pPr>
      <w:r w:rsidRPr="00C730D3">
        <w:rPr>
          <w:rFonts w:cs="Arial"/>
          <w:bCs/>
          <w:i/>
          <w:color w:val="000000"/>
        </w:rPr>
        <w:t>You must not behave in a way which is likely to diminish the trust and confidence which the public places in you or in the profession</w:t>
      </w:r>
    </w:p>
    <w:p w14:paraId="1829910F" w14:textId="77777777" w:rsidR="00920638" w:rsidRPr="00C730D3" w:rsidRDefault="00920638" w:rsidP="001E15E5">
      <w:pPr>
        <w:spacing w:line="276" w:lineRule="auto"/>
        <w:rPr>
          <w:rFonts w:asciiTheme="minorHAnsi" w:hAnsiTheme="minorHAnsi"/>
        </w:rPr>
      </w:pPr>
      <w:r w:rsidRPr="00C730D3">
        <w:rPr>
          <w:rFonts w:asciiTheme="minorHAnsi" w:hAnsiTheme="minorHAnsi"/>
        </w:rPr>
        <w:t xml:space="preserve">The equivalent document for solicitors contains similar provisions. </w:t>
      </w:r>
    </w:p>
    <w:p w14:paraId="50A0CDCF" w14:textId="77777777" w:rsidR="00495ECF" w:rsidRDefault="00495ECF" w:rsidP="001E15E5">
      <w:pPr>
        <w:spacing w:line="276" w:lineRule="auto"/>
        <w:rPr>
          <w:rFonts w:asciiTheme="minorHAnsi" w:hAnsiTheme="minorHAnsi"/>
        </w:rPr>
      </w:pPr>
    </w:p>
    <w:p w14:paraId="010BC3D3" w14:textId="7A281CC5" w:rsidR="00C92A7E" w:rsidRPr="00C730D3" w:rsidRDefault="00AC2B23" w:rsidP="001E15E5">
      <w:pPr>
        <w:spacing w:line="276" w:lineRule="auto"/>
        <w:rPr>
          <w:rFonts w:asciiTheme="minorHAnsi" w:hAnsiTheme="minorHAnsi"/>
        </w:rPr>
      </w:pPr>
      <w:r w:rsidRPr="00C730D3">
        <w:rPr>
          <w:rFonts w:asciiTheme="minorHAnsi" w:hAnsiTheme="minorHAnsi"/>
        </w:rPr>
        <w:t>With respect to those lawyers who are operating under an academic banner, we anticipate that adequate disincentive against publishing inaccurate material or material that is in contempt of court would arise from their relationship with the HE</w:t>
      </w:r>
      <w:r w:rsidR="00495ECF">
        <w:rPr>
          <w:rFonts w:asciiTheme="minorHAnsi" w:hAnsiTheme="minorHAnsi"/>
        </w:rPr>
        <w:t xml:space="preserve">I </w:t>
      </w:r>
      <w:r w:rsidRPr="00C730D3">
        <w:rPr>
          <w:rFonts w:asciiTheme="minorHAnsi" w:hAnsiTheme="minorHAnsi"/>
        </w:rPr>
        <w:t>whereby the institution would wish to avoid reputational damage</w:t>
      </w:r>
      <w:r w:rsidR="000636A2" w:rsidRPr="00C730D3">
        <w:rPr>
          <w:rFonts w:asciiTheme="minorHAnsi" w:hAnsiTheme="minorHAnsi"/>
        </w:rPr>
        <w:t xml:space="preserve"> and</w:t>
      </w:r>
      <w:r w:rsidRPr="00C730D3">
        <w:rPr>
          <w:rFonts w:asciiTheme="minorHAnsi" w:hAnsiTheme="minorHAnsi"/>
        </w:rPr>
        <w:t xml:space="preserve"> the employee would wish to avoid a risk to </w:t>
      </w:r>
      <w:r w:rsidR="000636A2" w:rsidRPr="00C730D3">
        <w:rPr>
          <w:rFonts w:asciiTheme="minorHAnsi" w:hAnsiTheme="minorHAnsi"/>
        </w:rPr>
        <w:t>research reputation and support and funding: any</w:t>
      </w:r>
      <w:r w:rsidRPr="00C730D3">
        <w:rPr>
          <w:rFonts w:asciiTheme="minorHAnsi" w:hAnsiTheme="minorHAnsi"/>
        </w:rPr>
        <w:t xml:space="preserve"> funded research project is likely to be subject to both the scrutiny of a University Ethics Committee and stringent funding conditions.</w:t>
      </w:r>
      <w:r w:rsidR="00216EB5" w:rsidRPr="00C730D3">
        <w:rPr>
          <w:rFonts w:asciiTheme="minorHAnsi" w:hAnsiTheme="minorHAnsi"/>
        </w:rPr>
        <w:t xml:space="preserve"> We note that whilst academics (who may or may not be lawyers) are permitted to attend court under the auspices of an Approved Research Project (see </w:t>
      </w:r>
      <w:r w:rsidR="00C358A1" w:rsidRPr="00C730D3">
        <w:rPr>
          <w:rFonts w:asciiTheme="minorHAnsi" w:hAnsiTheme="minorHAnsi"/>
        </w:rPr>
        <w:t>PD 12G para 2.1</w:t>
      </w:r>
      <w:r w:rsidR="00216EB5" w:rsidRPr="00C730D3">
        <w:rPr>
          <w:rFonts w:asciiTheme="minorHAnsi" w:hAnsiTheme="minorHAnsi"/>
        </w:rPr>
        <w:t xml:space="preserve">), this </w:t>
      </w:r>
      <w:r w:rsidR="004813A4" w:rsidRPr="00C730D3">
        <w:rPr>
          <w:rFonts w:asciiTheme="minorHAnsi" w:hAnsiTheme="minorHAnsi"/>
        </w:rPr>
        <w:t xml:space="preserve">is a lengthy process. Our </w:t>
      </w:r>
      <w:r w:rsidR="00216EB5" w:rsidRPr="00C730D3">
        <w:rPr>
          <w:rFonts w:asciiTheme="minorHAnsi" w:hAnsiTheme="minorHAnsi"/>
        </w:rPr>
        <w:t xml:space="preserve">proposal is intended to permit more </w:t>
      </w:r>
      <w:r w:rsidR="004813A4" w:rsidRPr="00C730D3">
        <w:rPr>
          <w:rFonts w:asciiTheme="minorHAnsi" w:hAnsiTheme="minorHAnsi"/>
        </w:rPr>
        <w:t>flexible</w:t>
      </w:r>
      <w:r w:rsidR="00216EB5" w:rsidRPr="00C730D3">
        <w:rPr>
          <w:rFonts w:asciiTheme="minorHAnsi" w:hAnsiTheme="minorHAnsi"/>
        </w:rPr>
        <w:t xml:space="preserve"> and fluid access to court hearings for </w:t>
      </w:r>
      <w:r w:rsidR="00950A98" w:rsidRPr="00C730D3">
        <w:rPr>
          <w:rFonts w:asciiTheme="minorHAnsi" w:hAnsiTheme="minorHAnsi"/>
        </w:rPr>
        <w:t xml:space="preserve">qualified </w:t>
      </w:r>
      <w:r w:rsidR="00216EB5" w:rsidRPr="00C730D3">
        <w:rPr>
          <w:rFonts w:asciiTheme="minorHAnsi" w:hAnsiTheme="minorHAnsi"/>
        </w:rPr>
        <w:t>researchers.</w:t>
      </w:r>
      <w:r w:rsidR="009A2FF5" w:rsidRPr="00C730D3">
        <w:rPr>
          <w:rFonts w:asciiTheme="minorHAnsi" w:hAnsiTheme="minorHAnsi"/>
        </w:rPr>
        <w:t xml:space="preserve"> It would be a matter for any researcher</w:t>
      </w:r>
      <w:r w:rsidR="00950A98" w:rsidRPr="00C730D3">
        <w:rPr>
          <w:rFonts w:asciiTheme="minorHAnsi" w:hAnsiTheme="minorHAnsi"/>
        </w:rPr>
        <w:t xml:space="preserve"> meeting </w:t>
      </w:r>
      <w:r w:rsidR="00950A98" w:rsidRPr="00C730D3">
        <w:rPr>
          <w:rFonts w:asciiTheme="minorHAnsi" w:hAnsiTheme="minorHAnsi"/>
        </w:rPr>
        <w:lastRenderedPageBreak/>
        <w:t>our proposed criteria</w:t>
      </w:r>
      <w:r w:rsidR="009A2FF5" w:rsidRPr="00C730D3">
        <w:rPr>
          <w:rFonts w:asciiTheme="minorHAnsi" w:hAnsiTheme="minorHAnsi"/>
        </w:rPr>
        <w:t xml:space="preserve"> to ensure that </w:t>
      </w:r>
      <w:r w:rsidR="00950A98" w:rsidRPr="00C730D3">
        <w:rPr>
          <w:rFonts w:asciiTheme="minorHAnsi" w:hAnsiTheme="minorHAnsi"/>
        </w:rPr>
        <w:t>any information used for</w:t>
      </w:r>
      <w:r w:rsidR="009A2FF5" w:rsidRPr="00C730D3">
        <w:rPr>
          <w:rFonts w:asciiTheme="minorHAnsi" w:hAnsiTheme="minorHAnsi"/>
        </w:rPr>
        <w:t xml:space="preserve"> research publication </w:t>
      </w:r>
      <w:r w:rsidR="00950A98" w:rsidRPr="00C730D3">
        <w:rPr>
          <w:rFonts w:asciiTheme="minorHAnsi" w:hAnsiTheme="minorHAnsi"/>
        </w:rPr>
        <w:t>is</w:t>
      </w:r>
      <w:r w:rsidR="009A2FF5" w:rsidRPr="00C730D3">
        <w:rPr>
          <w:rFonts w:asciiTheme="minorHAnsi" w:hAnsiTheme="minorHAnsi"/>
        </w:rPr>
        <w:t xml:space="preserve"> either authorized or </w:t>
      </w:r>
      <w:r w:rsidR="00950A98" w:rsidRPr="00C730D3">
        <w:rPr>
          <w:rFonts w:asciiTheme="minorHAnsi" w:hAnsiTheme="minorHAnsi"/>
        </w:rPr>
        <w:t>not in contravention of</w:t>
      </w:r>
      <w:r w:rsidR="009A2FF5" w:rsidRPr="00C730D3">
        <w:rPr>
          <w:rFonts w:asciiTheme="minorHAnsi" w:hAnsiTheme="minorHAnsi"/>
        </w:rPr>
        <w:t xml:space="preserve"> provisions such as s12 AJA 1960.</w:t>
      </w:r>
      <w:r w:rsidR="003B0702" w:rsidRPr="00C730D3">
        <w:rPr>
          <w:rFonts w:asciiTheme="minorHAnsi" w:hAnsiTheme="minorHAnsi"/>
        </w:rPr>
        <w:t xml:space="preserve"> We suggest that the rules should require the HEI to confirm that the individual is employed or working in a teaching or research capacity for the law school or department of the relevant HEI.</w:t>
      </w:r>
    </w:p>
    <w:p w14:paraId="0A294415" w14:textId="77777777" w:rsidR="00C92A7E" w:rsidRPr="00C730D3" w:rsidRDefault="00C92A7E" w:rsidP="001E15E5">
      <w:pPr>
        <w:spacing w:line="276" w:lineRule="auto"/>
        <w:rPr>
          <w:rFonts w:asciiTheme="minorHAnsi" w:hAnsiTheme="minorHAnsi"/>
        </w:rPr>
      </w:pPr>
    </w:p>
    <w:p w14:paraId="66E347B1" w14:textId="75F112BD" w:rsidR="00216EB5" w:rsidRPr="00C730D3" w:rsidRDefault="00216EB5" w:rsidP="001E15E5">
      <w:pPr>
        <w:spacing w:line="276" w:lineRule="auto"/>
        <w:rPr>
          <w:rFonts w:asciiTheme="minorHAnsi" w:hAnsiTheme="minorHAnsi"/>
        </w:rPr>
      </w:pPr>
      <w:r w:rsidRPr="00C730D3">
        <w:rPr>
          <w:rFonts w:asciiTheme="minorHAnsi" w:hAnsiTheme="minorHAnsi"/>
        </w:rPr>
        <w:t>With respect to those lawyers who are operating via an educational charity, we have proposed that this should be limited to those educational charities who have specifically been approved (probably by the President</w:t>
      </w:r>
      <w:r w:rsidR="00304B8E" w:rsidRPr="00C730D3">
        <w:rPr>
          <w:rFonts w:asciiTheme="minorHAnsi" w:hAnsiTheme="minorHAnsi"/>
        </w:rPr>
        <w:t xml:space="preserve"> of the Family Division</w:t>
      </w:r>
      <w:r w:rsidRPr="00C730D3">
        <w:rPr>
          <w:rFonts w:asciiTheme="minorHAnsi" w:hAnsiTheme="minorHAnsi"/>
        </w:rPr>
        <w:t>) to oversee the work of a lawyer attending court on their behalf. We anticipate that charities like The Transparency Project would be suitable for authorization, and this would enable our non-</w:t>
      </w:r>
      <w:proofErr w:type="spellStart"/>
      <w:r w:rsidRPr="00C730D3">
        <w:rPr>
          <w:rFonts w:asciiTheme="minorHAnsi" w:hAnsiTheme="minorHAnsi"/>
        </w:rPr>
        <w:t>practising</w:t>
      </w:r>
      <w:proofErr w:type="spellEnd"/>
      <w:r w:rsidRPr="00C730D3">
        <w:rPr>
          <w:rFonts w:asciiTheme="minorHAnsi" w:hAnsiTheme="minorHAnsi"/>
        </w:rPr>
        <w:t xml:space="preserve"> lawyer volunteers / staff members to attend court and report. The Transparency Project has built up considerable expertise in the restrictions applicable in the family court and is able to support and supervise non-</w:t>
      </w:r>
      <w:proofErr w:type="spellStart"/>
      <w:r w:rsidRPr="00C730D3">
        <w:rPr>
          <w:rFonts w:asciiTheme="minorHAnsi" w:hAnsiTheme="minorHAnsi"/>
        </w:rPr>
        <w:t>practising</w:t>
      </w:r>
      <w:proofErr w:type="spellEnd"/>
      <w:r w:rsidRPr="00C730D3">
        <w:rPr>
          <w:rFonts w:asciiTheme="minorHAnsi" w:hAnsiTheme="minorHAnsi"/>
        </w:rPr>
        <w:t xml:space="preserve"> lawyers to ensure that publications are both accurate and lawful. </w:t>
      </w:r>
      <w:r w:rsidR="009471D0" w:rsidRPr="00C730D3">
        <w:rPr>
          <w:rFonts w:asciiTheme="minorHAnsi" w:hAnsiTheme="minorHAnsi"/>
        </w:rPr>
        <w:t xml:space="preserve">Charities are subject to approval and regulation by the Charity Commission and under a legal obligation to operate in the public benefit. </w:t>
      </w:r>
      <w:r w:rsidRPr="00C730D3">
        <w:rPr>
          <w:rFonts w:asciiTheme="minorHAnsi" w:hAnsiTheme="minorHAnsi"/>
        </w:rPr>
        <w:t xml:space="preserve">For a small charity such as The Transparency Project there is a strong disincentive against making mistakes in this field for reputational reasons, and because our charitable objectives require us to work towards the furtherance of the administration of justice. There would be a strong disincentive against inappropriate reporting in that we would wish to avoid circumstances where our approved status </w:t>
      </w:r>
      <w:proofErr w:type="gramStart"/>
      <w:r w:rsidRPr="00C730D3">
        <w:rPr>
          <w:rFonts w:asciiTheme="minorHAnsi" w:hAnsiTheme="minorHAnsi"/>
        </w:rPr>
        <w:t>were</w:t>
      </w:r>
      <w:proofErr w:type="gramEnd"/>
      <w:r w:rsidRPr="00C730D3">
        <w:rPr>
          <w:rFonts w:asciiTheme="minorHAnsi" w:hAnsiTheme="minorHAnsi"/>
        </w:rPr>
        <w:t xml:space="preserve"> withdrawn.</w:t>
      </w:r>
    </w:p>
    <w:p w14:paraId="5E1ECE82" w14:textId="77777777" w:rsidR="00216EB5" w:rsidRDefault="00216EB5" w:rsidP="001E15E5">
      <w:pPr>
        <w:spacing w:line="276" w:lineRule="auto"/>
        <w:rPr>
          <w:rFonts w:asciiTheme="minorHAnsi" w:hAnsiTheme="minorHAnsi"/>
        </w:rPr>
      </w:pPr>
    </w:p>
    <w:p w14:paraId="0E244E31" w14:textId="0401DF03" w:rsidR="00495ECF" w:rsidRPr="00495ECF" w:rsidRDefault="00495ECF" w:rsidP="001E15E5">
      <w:pPr>
        <w:spacing w:line="276" w:lineRule="auto"/>
        <w:rPr>
          <w:rFonts w:asciiTheme="minorHAnsi" w:hAnsiTheme="minorHAnsi"/>
          <w:b/>
        </w:rPr>
      </w:pPr>
      <w:r w:rsidRPr="00495ECF">
        <w:rPr>
          <w:rFonts w:asciiTheme="minorHAnsi" w:hAnsiTheme="minorHAnsi"/>
          <w:b/>
        </w:rPr>
        <w:t>Comparison with safeguards around the press</w:t>
      </w:r>
    </w:p>
    <w:p w14:paraId="56D53939" w14:textId="77777777" w:rsidR="00495ECF" w:rsidRDefault="00495ECF" w:rsidP="001E15E5">
      <w:pPr>
        <w:spacing w:line="276" w:lineRule="auto"/>
        <w:rPr>
          <w:rFonts w:asciiTheme="minorHAnsi" w:hAnsiTheme="minorHAnsi"/>
        </w:rPr>
      </w:pPr>
    </w:p>
    <w:p w14:paraId="6C258F6D" w14:textId="386FA0F6" w:rsidR="00C92A7E" w:rsidRPr="00C730D3" w:rsidRDefault="00C92A7E" w:rsidP="001E15E5">
      <w:pPr>
        <w:spacing w:line="276" w:lineRule="auto"/>
        <w:rPr>
          <w:rFonts w:asciiTheme="minorHAnsi" w:hAnsiTheme="minorHAnsi"/>
        </w:rPr>
      </w:pPr>
      <w:r w:rsidRPr="00C730D3">
        <w:rPr>
          <w:rFonts w:asciiTheme="minorHAnsi" w:hAnsiTheme="minorHAnsi"/>
        </w:rPr>
        <w:t xml:space="preserve">The question </w:t>
      </w:r>
      <w:r w:rsidR="009471D0" w:rsidRPr="00C730D3">
        <w:rPr>
          <w:rFonts w:asciiTheme="minorHAnsi" w:hAnsiTheme="minorHAnsi"/>
        </w:rPr>
        <w:t xml:space="preserve">posed by the FPR rules committee </w:t>
      </w:r>
      <w:r w:rsidRPr="00C730D3">
        <w:rPr>
          <w:rFonts w:asciiTheme="minorHAnsi" w:hAnsiTheme="minorHAnsi"/>
        </w:rPr>
        <w:t xml:space="preserve">refers to the </w:t>
      </w:r>
      <w:r w:rsidR="009471D0" w:rsidRPr="00C730D3">
        <w:rPr>
          <w:rFonts w:asciiTheme="minorHAnsi" w:hAnsiTheme="minorHAnsi"/>
        </w:rPr>
        <w:t xml:space="preserve">self-regulatory industry body the </w:t>
      </w:r>
      <w:r w:rsidRPr="00C730D3">
        <w:rPr>
          <w:rFonts w:asciiTheme="minorHAnsi" w:hAnsiTheme="minorHAnsi"/>
        </w:rPr>
        <w:t xml:space="preserve">Press Complaints Commission which no longer exists. </w:t>
      </w:r>
      <w:r w:rsidR="009471D0" w:rsidRPr="00C730D3">
        <w:rPr>
          <w:rFonts w:asciiTheme="minorHAnsi" w:hAnsiTheme="minorHAnsi"/>
        </w:rPr>
        <w:t>It was replaced by the</w:t>
      </w:r>
      <w:r w:rsidRPr="00C730D3">
        <w:rPr>
          <w:rFonts w:asciiTheme="minorHAnsi" w:hAnsiTheme="minorHAnsi"/>
        </w:rPr>
        <w:t xml:space="preserve"> Independent Press Standards </w:t>
      </w:r>
      <w:proofErr w:type="spellStart"/>
      <w:r w:rsidRPr="00C730D3">
        <w:rPr>
          <w:rFonts w:asciiTheme="minorHAnsi" w:hAnsiTheme="minorHAnsi"/>
        </w:rPr>
        <w:t>Organisatio</w:t>
      </w:r>
      <w:r w:rsidR="009471D0" w:rsidRPr="00C730D3">
        <w:rPr>
          <w:rFonts w:asciiTheme="minorHAnsi" w:hAnsiTheme="minorHAnsi"/>
        </w:rPr>
        <w:t>n</w:t>
      </w:r>
      <w:proofErr w:type="spellEnd"/>
      <w:r w:rsidR="009471D0" w:rsidRPr="00C730D3">
        <w:rPr>
          <w:rFonts w:asciiTheme="minorHAnsi" w:hAnsiTheme="minorHAnsi"/>
        </w:rPr>
        <w:t xml:space="preserve"> in 201</w:t>
      </w:r>
      <w:r w:rsidR="00C66EC6" w:rsidRPr="00C730D3">
        <w:rPr>
          <w:rFonts w:asciiTheme="minorHAnsi" w:hAnsiTheme="minorHAnsi"/>
        </w:rPr>
        <w:t>4</w:t>
      </w:r>
      <w:r w:rsidRPr="00C730D3">
        <w:rPr>
          <w:rFonts w:asciiTheme="minorHAnsi" w:hAnsiTheme="minorHAnsi"/>
        </w:rPr>
        <w:t xml:space="preserve">. </w:t>
      </w:r>
      <w:r w:rsidR="009471D0" w:rsidRPr="00C730D3">
        <w:rPr>
          <w:rFonts w:asciiTheme="minorHAnsi" w:hAnsiTheme="minorHAnsi"/>
        </w:rPr>
        <w:t xml:space="preserve">Additionally, IMPRESS, which was recognized as an approved regulator by the Press Recognition Panel in 2016, operates as an alternative regulator (IPSO has not sought PRP recognition). </w:t>
      </w:r>
      <w:r w:rsidRPr="00C730D3">
        <w:rPr>
          <w:rFonts w:asciiTheme="minorHAnsi" w:hAnsiTheme="minorHAnsi"/>
        </w:rPr>
        <w:t>We</w:t>
      </w:r>
      <w:r w:rsidR="00920638" w:rsidRPr="00C730D3">
        <w:rPr>
          <w:rFonts w:asciiTheme="minorHAnsi" w:hAnsiTheme="minorHAnsi"/>
        </w:rPr>
        <w:t xml:space="preserve"> note that not all media </w:t>
      </w:r>
      <w:proofErr w:type="spellStart"/>
      <w:r w:rsidR="00920638" w:rsidRPr="00C730D3">
        <w:rPr>
          <w:rFonts w:asciiTheme="minorHAnsi" w:hAnsiTheme="minorHAnsi"/>
        </w:rPr>
        <w:t>organisations</w:t>
      </w:r>
      <w:proofErr w:type="spellEnd"/>
      <w:r w:rsidR="00920638" w:rsidRPr="00C730D3">
        <w:rPr>
          <w:rFonts w:asciiTheme="minorHAnsi" w:hAnsiTheme="minorHAnsi"/>
        </w:rPr>
        <w:t xml:space="preserve"> and not all</w:t>
      </w:r>
      <w:r w:rsidR="0054285E" w:rsidRPr="00C730D3">
        <w:rPr>
          <w:rFonts w:asciiTheme="minorHAnsi" w:hAnsiTheme="minorHAnsi"/>
        </w:rPr>
        <w:t xml:space="preserve"> press card holding</w:t>
      </w:r>
      <w:r w:rsidR="00920638" w:rsidRPr="00C730D3">
        <w:rPr>
          <w:rFonts w:asciiTheme="minorHAnsi" w:hAnsiTheme="minorHAnsi"/>
        </w:rPr>
        <w:t xml:space="preserve"> journalists are regulated by IPSO</w:t>
      </w:r>
      <w:r w:rsidR="0031381D" w:rsidRPr="00C730D3">
        <w:rPr>
          <w:rFonts w:asciiTheme="minorHAnsi" w:hAnsiTheme="minorHAnsi"/>
        </w:rPr>
        <w:t>, Impress</w:t>
      </w:r>
      <w:r w:rsidR="00920638" w:rsidRPr="00C730D3">
        <w:rPr>
          <w:rFonts w:asciiTheme="minorHAnsi" w:hAnsiTheme="minorHAnsi"/>
        </w:rPr>
        <w:t xml:space="preserve"> or OFCOM or </w:t>
      </w:r>
      <w:r w:rsidR="0031381D" w:rsidRPr="00C730D3">
        <w:rPr>
          <w:rFonts w:asciiTheme="minorHAnsi" w:hAnsiTheme="minorHAnsi"/>
        </w:rPr>
        <w:t xml:space="preserve">any external regulator </w:t>
      </w:r>
      <w:r w:rsidR="0054285E" w:rsidRPr="00C730D3">
        <w:rPr>
          <w:rFonts w:asciiTheme="minorHAnsi" w:hAnsiTheme="minorHAnsi"/>
        </w:rPr>
        <w:t>(</w:t>
      </w:r>
      <w:r w:rsidR="0054285E" w:rsidRPr="00C730D3">
        <w:rPr>
          <w:rFonts w:asciiTheme="minorHAnsi" w:eastAsia="Times New Roman" w:hAnsiTheme="minorHAnsi"/>
        </w:rPr>
        <w:t xml:space="preserve">e.g. Guardian, FT, Independent, </w:t>
      </w:r>
      <w:proofErr w:type="spellStart"/>
      <w:r w:rsidR="0054285E" w:rsidRPr="00C730D3">
        <w:rPr>
          <w:rFonts w:asciiTheme="minorHAnsi" w:eastAsia="Times New Roman" w:hAnsiTheme="minorHAnsi"/>
        </w:rPr>
        <w:t>Buzzfeed</w:t>
      </w:r>
      <w:proofErr w:type="spellEnd"/>
      <w:r w:rsidR="0054285E" w:rsidRPr="00C730D3">
        <w:rPr>
          <w:rFonts w:asciiTheme="minorHAnsi" w:eastAsia="Times New Roman" w:hAnsiTheme="minorHAnsi"/>
        </w:rPr>
        <w:t xml:space="preserve"> are not subscribed to the IPSO scheme</w:t>
      </w:r>
      <w:r w:rsidR="0031381D" w:rsidRPr="00C730D3">
        <w:rPr>
          <w:rFonts w:asciiTheme="minorHAnsi" w:eastAsia="Times New Roman" w:hAnsiTheme="minorHAnsi"/>
        </w:rPr>
        <w:t xml:space="preserve"> nor Impress, and fall outside </w:t>
      </w:r>
      <w:proofErr w:type="spellStart"/>
      <w:r w:rsidR="0031381D" w:rsidRPr="00C730D3">
        <w:rPr>
          <w:rFonts w:asciiTheme="minorHAnsi" w:eastAsia="Times New Roman" w:hAnsiTheme="minorHAnsi"/>
        </w:rPr>
        <w:t>Ofcom’s</w:t>
      </w:r>
      <w:proofErr w:type="spellEnd"/>
      <w:r w:rsidR="0031381D" w:rsidRPr="00C730D3">
        <w:rPr>
          <w:rFonts w:asciiTheme="minorHAnsi" w:eastAsia="Times New Roman" w:hAnsiTheme="minorHAnsi"/>
        </w:rPr>
        <w:t xml:space="preserve"> remit</w:t>
      </w:r>
      <w:r w:rsidR="0054285E" w:rsidRPr="00C730D3">
        <w:rPr>
          <w:rFonts w:asciiTheme="minorHAnsi" w:eastAsia="Times New Roman" w:hAnsiTheme="minorHAnsi"/>
        </w:rPr>
        <w:t>)</w:t>
      </w:r>
      <w:r w:rsidR="00920638" w:rsidRPr="00C730D3">
        <w:rPr>
          <w:rFonts w:asciiTheme="minorHAnsi" w:hAnsiTheme="minorHAnsi"/>
        </w:rPr>
        <w:t xml:space="preserve">. </w:t>
      </w:r>
      <w:r w:rsidR="0031381D" w:rsidRPr="00C730D3">
        <w:rPr>
          <w:rFonts w:asciiTheme="minorHAnsi" w:hAnsiTheme="minorHAnsi"/>
        </w:rPr>
        <w:t xml:space="preserve">Nor are accredited journalists required to hold any professional or regulatory qualification. </w:t>
      </w:r>
      <w:r w:rsidR="0054285E" w:rsidRPr="00C730D3">
        <w:rPr>
          <w:rFonts w:asciiTheme="minorHAnsi" w:hAnsiTheme="minorHAnsi"/>
        </w:rPr>
        <w:t xml:space="preserve">Lawyers under our scheme would be under more robust </w:t>
      </w:r>
      <w:r w:rsidR="0031381D" w:rsidRPr="00C730D3">
        <w:rPr>
          <w:rFonts w:asciiTheme="minorHAnsi" w:hAnsiTheme="minorHAnsi"/>
        </w:rPr>
        <w:t xml:space="preserve">professional </w:t>
      </w:r>
      <w:r w:rsidR="0054285E" w:rsidRPr="00C730D3">
        <w:rPr>
          <w:rFonts w:asciiTheme="minorHAnsi" w:hAnsiTheme="minorHAnsi"/>
        </w:rPr>
        <w:t>regulation than journalists from any of these outlets, all of whom are currently given access to courts on an equal footing to those who are regulated by IPSO.</w:t>
      </w:r>
    </w:p>
    <w:p w14:paraId="77FC3278" w14:textId="77777777" w:rsidR="00C92A7E" w:rsidRPr="00C730D3" w:rsidRDefault="00C92A7E" w:rsidP="001E15E5">
      <w:pPr>
        <w:spacing w:line="276" w:lineRule="auto"/>
        <w:rPr>
          <w:rFonts w:asciiTheme="minorHAnsi" w:hAnsiTheme="minorHAnsi"/>
        </w:rPr>
      </w:pPr>
    </w:p>
    <w:p w14:paraId="212918C3" w14:textId="74BCCD50" w:rsidR="00C92A7E" w:rsidRPr="00C730D3" w:rsidRDefault="00C92A7E" w:rsidP="001E15E5">
      <w:pPr>
        <w:spacing w:line="276" w:lineRule="auto"/>
        <w:rPr>
          <w:rFonts w:asciiTheme="minorHAnsi" w:hAnsiTheme="minorHAnsi"/>
        </w:rPr>
      </w:pPr>
      <w:r w:rsidRPr="00C730D3">
        <w:rPr>
          <w:rFonts w:asciiTheme="minorHAnsi" w:hAnsiTheme="minorHAnsi"/>
        </w:rPr>
        <w:t xml:space="preserve">Having </w:t>
      </w:r>
      <w:r w:rsidR="0031381D" w:rsidRPr="00C730D3">
        <w:rPr>
          <w:rFonts w:asciiTheme="minorHAnsi" w:hAnsiTheme="minorHAnsi"/>
        </w:rPr>
        <w:t xml:space="preserve">written about </w:t>
      </w:r>
      <w:r w:rsidRPr="00C730D3">
        <w:rPr>
          <w:rFonts w:asciiTheme="minorHAnsi" w:hAnsiTheme="minorHAnsi"/>
        </w:rPr>
        <w:t>family courts</w:t>
      </w:r>
      <w:r w:rsidR="0031381D" w:rsidRPr="00C730D3">
        <w:rPr>
          <w:rFonts w:asciiTheme="minorHAnsi" w:hAnsiTheme="minorHAnsi"/>
        </w:rPr>
        <w:t xml:space="preserve"> and</w:t>
      </w:r>
      <w:r w:rsidRPr="00C730D3">
        <w:rPr>
          <w:rFonts w:asciiTheme="minorHAnsi" w:hAnsiTheme="minorHAnsi"/>
        </w:rPr>
        <w:t xml:space="preserve"> </w:t>
      </w:r>
      <w:r w:rsidR="0031381D" w:rsidRPr="00C730D3">
        <w:rPr>
          <w:rFonts w:asciiTheme="minorHAnsi" w:hAnsiTheme="minorHAnsi"/>
        </w:rPr>
        <w:t>monitored</w:t>
      </w:r>
      <w:r w:rsidRPr="00C730D3">
        <w:rPr>
          <w:rFonts w:asciiTheme="minorHAnsi" w:hAnsiTheme="minorHAnsi"/>
        </w:rPr>
        <w:t xml:space="preserve"> the output of the mainstream press for a number of years</w:t>
      </w:r>
      <w:r w:rsidR="0031381D" w:rsidRPr="00C730D3">
        <w:rPr>
          <w:rFonts w:asciiTheme="minorHAnsi" w:hAnsiTheme="minorHAnsi"/>
        </w:rPr>
        <w:t>,</w:t>
      </w:r>
      <w:r w:rsidRPr="00C730D3">
        <w:rPr>
          <w:rFonts w:asciiTheme="minorHAnsi" w:hAnsiTheme="minorHAnsi"/>
        </w:rPr>
        <w:t xml:space="preserve"> we would respectfully suggest that the current system of press regulation is not entirely effective in preventing difficulties arising from court reporting. There is as far as we are aware no suggestion that as a result the press at large should be prohibited from attending court. </w:t>
      </w:r>
    </w:p>
    <w:p w14:paraId="40A7AB5C" w14:textId="77777777" w:rsidR="00C92A7E" w:rsidRPr="00C730D3" w:rsidRDefault="00C92A7E" w:rsidP="001E15E5">
      <w:pPr>
        <w:spacing w:line="276" w:lineRule="auto"/>
        <w:rPr>
          <w:rFonts w:asciiTheme="minorHAnsi" w:hAnsiTheme="minorHAnsi"/>
        </w:rPr>
      </w:pPr>
    </w:p>
    <w:p w14:paraId="7B65BCF0" w14:textId="0A1D6D80" w:rsidR="00920638" w:rsidRPr="00C730D3" w:rsidRDefault="00C92A7E" w:rsidP="001E15E5">
      <w:pPr>
        <w:spacing w:line="276" w:lineRule="auto"/>
        <w:rPr>
          <w:rFonts w:asciiTheme="minorHAnsi" w:hAnsiTheme="minorHAnsi"/>
        </w:rPr>
      </w:pPr>
      <w:r w:rsidRPr="00C730D3">
        <w:rPr>
          <w:rFonts w:asciiTheme="minorHAnsi" w:hAnsiTheme="minorHAnsi"/>
        </w:rPr>
        <w:t>Further, even leaving aside the question of press regulator, in the event that any person or organization published anything inaccurate</w:t>
      </w:r>
      <w:r w:rsidR="0031381D" w:rsidRPr="00C730D3">
        <w:rPr>
          <w:rFonts w:asciiTheme="minorHAnsi" w:hAnsiTheme="minorHAnsi"/>
        </w:rPr>
        <w:t xml:space="preserve"> or private</w:t>
      </w:r>
      <w:r w:rsidR="004813A4" w:rsidRPr="00C730D3">
        <w:rPr>
          <w:rFonts w:asciiTheme="minorHAnsi" w:hAnsiTheme="minorHAnsi"/>
        </w:rPr>
        <w:t>,</w:t>
      </w:r>
      <w:r w:rsidRPr="00C730D3">
        <w:rPr>
          <w:rFonts w:asciiTheme="minorHAnsi" w:hAnsiTheme="minorHAnsi"/>
        </w:rPr>
        <w:t xml:space="preserve"> the usual forms of legal redress would be open to any person about whom inaccurate</w:t>
      </w:r>
      <w:r w:rsidR="0031381D" w:rsidRPr="00C730D3">
        <w:rPr>
          <w:rFonts w:asciiTheme="minorHAnsi" w:hAnsiTheme="minorHAnsi"/>
        </w:rPr>
        <w:t xml:space="preserve"> or private</w:t>
      </w:r>
      <w:r w:rsidRPr="00C730D3">
        <w:rPr>
          <w:rFonts w:asciiTheme="minorHAnsi" w:hAnsiTheme="minorHAnsi"/>
        </w:rPr>
        <w:t xml:space="preserve"> information had been published (</w:t>
      </w:r>
      <w:r w:rsidR="0031381D" w:rsidRPr="00C730D3">
        <w:rPr>
          <w:rFonts w:asciiTheme="minorHAnsi" w:hAnsiTheme="minorHAnsi"/>
        </w:rPr>
        <w:t xml:space="preserve">contempt, </w:t>
      </w:r>
      <w:r w:rsidRPr="00C730D3">
        <w:rPr>
          <w:rFonts w:asciiTheme="minorHAnsi" w:hAnsiTheme="minorHAnsi"/>
        </w:rPr>
        <w:t>defamation</w:t>
      </w:r>
      <w:r w:rsidR="0031381D" w:rsidRPr="00C730D3">
        <w:rPr>
          <w:rFonts w:asciiTheme="minorHAnsi" w:hAnsiTheme="minorHAnsi"/>
        </w:rPr>
        <w:t>, misuse of private information, and data protection</w:t>
      </w:r>
      <w:r w:rsidRPr="00C730D3">
        <w:rPr>
          <w:rFonts w:asciiTheme="minorHAnsi" w:hAnsiTheme="minorHAnsi"/>
        </w:rPr>
        <w:t xml:space="preserve"> etc</w:t>
      </w:r>
      <w:r w:rsidR="0031381D" w:rsidRPr="00C730D3">
        <w:rPr>
          <w:rFonts w:asciiTheme="minorHAnsi" w:hAnsiTheme="minorHAnsi"/>
        </w:rPr>
        <w:t>.</w:t>
      </w:r>
      <w:r w:rsidRPr="00C730D3">
        <w:rPr>
          <w:rFonts w:asciiTheme="minorHAnsi" w:hAnsiTheme="minorHAnsi"/>
        </w:rPr>
        <w:t xml:space="preserve">). As has been often acknowledged by the judiciary it is no part of the function of the judiciary to attempt to exert editorial control over the press, and we </w:t>
      </w:r>
      <w:r w:rsidR="0031381D" w:rsidRPr="00C730D3">
        <w:rPr>
          <w:rFonts w:asciiTheme="minorHAnsi" w:hAnsiTheme="minorHAnsi"/>
        </w:rPr>
        <w:t>see no reason</w:t>
      </w:r>
      <w:r w:rsidRPr="00C730D3">
        <w:rPr>
          <w:rFonts w:asciiTheme="minorHAnsi" w:hAnsiTheme="minorHAnsi"/>
        </w:rPr>
        <w:t xml:space="preserve"> for the judiciary to attempt to do so with regard to more modern forms of reporting</w:t>
      </w:r>
      <w:r w:rsidR="0031381D" w:rsidRPr="00C730D3">
        <w:rPr>
          <w:rFonts w:asciiTheme="minorHAnsi" w:hAnsiTheme="minorHAnsi"/>
        </w:rPr>
        <w:t xml:space="preserve"> (subject to our proposed conditions)</w:t>
      </w:r>
      <w:r w:rsidRPr="00C730D3">
        <w:rPr>
          <w:rFonts w:asciiTheme="minorHAnsi" w:hAnsiTheme="minorHAnsi"/>
        </w:rPr>
        <w:t xml:space="preserve">. </w:t>
      </w:r>
    </w:p>
    <w:p w14:paraId="090E3F33" w14:textId="77777777" w:rsidR="00C92A7E" w:rsidRDefault="00C92A7E" w:rsidP="001E15E5">
      <w:pPr>
        <w:spacing w:line="276" w:lineRule="auto"/>
        <w:rPr>
          <w:rFonts w:asciiTheme="minorHAnsi" w:hAnsiTheme="minorHAnsi"/>
        </w:rPr>
      </w:pPr>
    </w:p>
    <w:p w14:paraId="1A0A2A8F" w14:textId="549EEDA4" w:rsidR="00495ECF" w:rsidRPr="00495ECF" w:rsidRDefault="00495ECF" w:rsidP="001E15E5">
      <w:pPr>
        <w:spacing w:line="276" w:lineRule="auto"/>
        <w:rPr>
          <w:rFonts w:asciiTheme="minorHAnsi" w:hAnsiTheme="minorHAnsi"/>
          <w:b/>
        </w:rPr>
      </w:pPr>
      <w:r w:rsidRPr="00495ECF">
        <w:rPr>
          <w:rFonts w:asciiTheme="minorHAnsi" w:hAnsiTheme="minorHAnsi"/>
          <w:b/>
        </w:rPr>
        <w:t>Policy rationale</w:t>
      </w:r>
    </w:p>
    <w:p w14:paraId="130F7F9A" w14:textId="77777777" w:rsidR="00495ECF" w:rsidRPr="00C730D3" w:rsidRDefault="00495ECF" w:rsidP="001E15E5">
      <w:pPr>
        <w:spacing w:line="276" w:lineRule="auto"/>
        <w:rPr>
          <w:rFonts w:asciiTheme="minorHAnsi" w:hAnsiTheme="minorHAnsi"/>
        </w:rPr>
      </w:pPr>
    </w:p>
    <w:p w14:paraId="029B2C52" w14:textId="31D9F6CD" w:rsidR="00C92A7E" w:rsidRPr="00C730D3" w:rsidRDefault="00C92A7E" w:rsidP="001E15E5">
      <w:pPr>
        <w:spacing w:line="276" w:lineRule="auto"/>
        <w:rPr>
          <w:rFonts w:asciiTheme="minorHAnsi" w:hAnsiTheme="minorHAnsi"/>
        </w:rPr>
      </w:pPr>
      <w:r w:rsidRPr="00C730D3">
        <w:rPr>
          <w:rFonts w:asciiTheme="minorHAnsi" w:hAnsiTheme="minorHAnsi"/>
        </w:rPr>
        <w:t xml:space="preserve">One of the main rationales </w:t>
      </w:r>
      <w:r w:rsidR="0031381D" w:rsidRPr="00C730D3">
        <w:rPr>
          <w:rFonts w:asciiTheme="minorHAnsi" w:hAnsiTheme="minorHAnsi"/>
        </w:rPr>
        <w:t>of our proposal to</w:t>
      </w:r>
      <w:r w:rsidRPr="00C730D3">
        <w:rPr>
          <w:rFonts w:asciiTheme="minorHAnsi" w:hAnsiTheme="minorHAnsi"/>
        </w:rPr>
        <w:t xml:space="preserve"> broaden entry to the courts to this category of reporter (colloquially described as legal bloggers) is to help redress the chronic inaccuracy of much existing mainstream media coverage. Legal bloggers </w:t>
      </w:r>
      <w:r w:rsidR="00804256" w:rsidRPr="00C730D3">
        <w:rPr>
          <w:rFonts w:asciiTheme="minorHAnsi" w:hAnsiTheme="minorHAnsi"/>
        </w:rPr>
        <w:t xml:space="preserve">in all fields of law </w:t>
      </w:r>
      <w:r w:rsidRPr="00C730D3">
        <w:rPr>
          <w:rFonts w:asciiTheme="minorHAnsi" w:hAnsiTheme="minorHAnsi"/>
        </w:rPr>
        <w:t xml:space="preserve">have a good track record of producing </w:t>
      </w:r>
      <w:r w:rsidR="00804256" w:rsidRPr="00C730D3">
        <w:rPr>
          <w:rFonts w:asciiTheme="minorHAnsi" w:hAnsiTheme="minorHAnsi"/>
        </w:rPr>
        <w:t>clear, accurate and balanced explanations of cases where the mainstream media have failed. There is much tendentious, inaccurate, inflammatory and legally and factually inaccurate material published every day about family courts.</w:t>
      </w:r>
      <w:r w:rsidR="00B41947" w:rsidRPr="00C730D3">
        <w:rPr>
          <w:rStyle w:val="FootnoteReference"/>
          <w:rFonts w:asciiTheme="minorHAnsi" w:hAnsiTheme="minorHAnsi"/>
        </w:rPr>
        <w:footnoteReference w:id="5"/>
      </w:r>
      <w:r w:rsidR="00804256" w:rsidRPr="00C730D3">
        <w:rPr>
          <w:rFonts w:asciiTheme="minorHAnsi" w:hAnsiTheme="minorHAnsi"/>
        </w:rPr>
        <w:t xml:space="preserve"> At worst legal bloggers would add to that depressing picture, but in our </w:t>
      </w:r>
      <w:proofErr w:type="gramStart"/>
      <w:r w:rsidR="00804256" w:rsidRPr="00C730D3">
        <w:rPr>
          <w:rFonts w:asciiTheme="minorHAnsi" w:hAnsiTheme="minorHAnsi"/>
        </w:rPr>
        <w:t>view</w:t>
      </w:r>
      <w:proofErr w:type="gramEnd"/>
      <w:r w:rsidR="00804256" w:rsidRPr="00C730D3">
        <w:rPr>
          <w:rFonts w:asciiTheme="minorHAnsi" w:hAnsiTheme="minorHAnsi"/>
        </w:rPr>
        <w:t xml:space="preserve"> they would go some way towards providing a more reliable resource for the public than is currently provided by the mainstream media.</w:t>
      </w:r>
      <w:r w:rsidR="0031381D" w:rsidRPr="00C730D3">
        <w:rPr>
          <w:rFonts w:asciiTheme="minorHAnsi" w:hAnsiTheme="minorHAnsi"/>
        </w:rPr>
        <w:t xml:space="preserve"> This would also support a broader public interest in access to information, as protected by ECHR Article 10 (which extends to the right to receive, as well as impart, information).</w:t>
      </w:r>
    </w:p>
    <w:p w14:paraId="4FE1539A" w14:textId="77777777" w:rsidR="00D96581" w:rsidRPr="00C730D3" w:rsidRDefault="00D96581" w:rsidP="001E15E5">
      <w:pPr>
        <w:spacing w:line="276" w:lineRule="auto"/>
        <w:rPr>
          <w:rFonts w:asciiTheme="minorHAnsi" w:hAnsiTheme="minorHAnsi"/>
        </w:rPr>
      </w:pPr>
    </w:p>
    <w:p w14:paraId="76457A03" w14:textId="31D74BDC" w:rsidR="00777077" w:rsidRPr="00C730D3" w:rsidRDefault="00D96581" w:rsidP="001E15E5">
      <w:pPr>
        <w:spacing w:line="276" w:lineRule="auto"/>
        <w:rPr>
          <w:rFonts w:asciiTheme="minorHAnsi" w:eastAsia="Times New Roman" w:hAnsiTheme="minorHAnsi"/>
        </w:rPr>
      </w:pPr>
      <w:r w:rsidRPr="00C730D3">
        <w:rPr>
          <w:rFonts w:asciiTheme="minorHAnsi" w:hAnsiTheme="minorHAnsi"/>
        </w:rPr>
        <w:t>For the avoidance of doubt</w:t>
      </w:r>
      <w:r w:rsidR="002C6375" w:rsidRPr="00C730D3">
        <w:rPr>
          <w:rFonts w:asciiTheme="minorHAnsi" w:hAnsiTheme="minorHAnsi"/>
        </w:rPr>
        <w:t>,</w:t>
      </w:r>
      <w:r w:rsidRPr="00C730D3">
        <w:rPr>
          <w:rFonts w:asciiTheme="minorHAnsi" w:hAnsiTheme="minorHAnsi"/>
        </w:rPr>
        <w:t xml:space="preserve"> it is </w:t>
      </w:r>
      <w:r w:rsidR="004813A4" w:rsidRPr="00C730D3">
        <w:rPr>
          <w:rFonts w:asciiTheme="minorHAnsi" w:hAnsiTheme="minorHAnsi"/>
        </w:rPr>
        <w:t xml:space="preserve">not </w:t>
      </w:r>
      <w:r w:rsidR="0031381D" w:rsidRPr="00C730D3">
        <w:rPr>
          <w:rFonts w:asciiTheme="minorHAnsi" w:hAnsiTheme="minorHAnsi"/>
        </w:rPr>
        <w:t>possible for most</w:t>
      </w:r>
      <w:r w:rsidRPr="00C730D3">
        <w:rPr>
          <w:rFonts w:asciiTheme="minorHAnsi" w:hAnsiTheme="minorHAnsi"/>
        </w:rPr>
        <w:t xml:space="preserve"> legal bloggers to obtain a press card, primarily because the press card scheme rules require that the holder’s “employment (or self-employment) is wholly or significantly concerned with the gathering, transport or processing of information or images for publication in broadcast electronic or written media – including TV, radio, internet-based services, newspaper and periodicals”</w:t>
      </w:r>
      <w:r w:rsidR="00304B8E" w:rsidRPr="00C730D3">
        <w:rPr>
          <w:rFonts w:asciiTheme="minorHAnsi" w:hAnsiTheme="minorHAnsi"/>
        </w:rPr>
        <w:t xml:space="preserve"> (</w:t>
      </w:r>
      <w:r w:rsidR="002C6375" w:rsidRPr="00C730D3">
        <w:rPr>
          <w:rFonts w:asciiTheme="minorHAnsi" w:hAnsiTheme="minorHAnsi"/>
        </w:rPr>
        <w:t>www.</w:t>
      </w:r>
      <w:r w:rsidR="00304B8E" w:rsidRPr="00C730D3">
        <w:rPr>
          <w:rFonts w:asciiTheme="minorHAnsi" w:hAnsiTheme="minorHAnsi"/>
        </w:rPr>
        <w:t xml:space="preserve">ukpresscardauthority.co.uk). </w:t>
      </w:r>
      <w:r w:rsidR="0031381D" w:rsidRPr="00C730D3">
        <w:rPr>
          <w:rFonts w:asciiTheme="minorHAnsi" w:hAnsiTheme="minorHAnsi"/>
        </w:rPr>
        <w:t xml:space="preserve">Since most legal bloggers operate voluntarily and not as part of formal employment, </w:t>
      </w:r>
      <w:r w:rsidR="00B41947" w:rsidRPr="00C730D3">
        <w:rPr>
          <w:rFonts w:asciiTheme="minorHAnsi" w:hAnsiTheme="minorHAnsi"/>
        </w:rPr>
        <w:t xml:space="preserve">they are unable to secure such status. The effect is that legal bloggers </w:t>
      </w:r>
      <w:r w:rsidRPr="00C730D3">
        <w:rPr>
          <w:rFonts w:asciiTheme="minorHAnsi" w:hAnsiTheme="minorHAnsi"/>
        </w:rPr>
        <w:t xml:space="preserve">who maintain a current knowledge of court workings through their practice as lawyers, and who might therefore be considered to be safe pairs of hands, are excluded from gaining access to this closed scheme, whilst journalists with no experience of journalism or court reporting or family court reporting </w:t>
      </w:r>
      <w:r w:rsidR="00580862" w:rsidRPr="00C730D3">
        <w:rPr>
          <w:rFonts w:asciiTheme="minorHAnsi" w:hAnsiTheme="minorHAnsi"/>
        </w:rPr>
        <w:t xml:space="preserve">(and potentially with limited legal expertise to ensure that they do not inadvertently breach privacy restrictions) </w:t>
      </w:r>
      <w:r w:rsidRPr="00C730D3">
        <w:rPr>
          <w:rFonts w:asciiTheme="minorHAnsi" w:hAnsiTheme="minorHAnsi"/>
        </w:rPr>
        <w:t>are given free access.</w:t>
      </w:r>
    </w:p>
    <w:p w14:paraId="191B8B18" w14:textId="221420F9" w:rsidR="00C92A7E" w:rsidRPr="00C730D3" w:rsidRDefault="00777077" w:rsidP="001E15E5">
      <w:pPr>
        <w:spacing w:before="240" w:line="276" w:lineRule="auto"/>
        <w:rPr>
          <w:rFonts w:asciiTheme="minorHAnsi" w:eastAsia="Times New Roman" w:hAnsiTheme="minorHAnsi"/>
        </w:rPr>
      </w:pPr>
      <w:r w:rsidRPr="00C730D3">
        <w:rPr>
          <w:rFonts w:asciiTheme="minorHAnsi" w:eastAsia="Times New Roman" w:hAnsiTheme="minorHAnsi"/>
        </w:rPr>
        <w:lastRenderedPageBreak/>
        <w:t xml:space="preserve">We note that if there is a policy objective to encourage an improvement in the quality </w:t>
      </w:r>
      <w:r w:rsidR="00495ECF">
        <w:rPr>
          <w:rFonts w:asciiTheme="minorHAnsi" w:eastAsia="Times New Roman" w:hAnsiTheme="minorHAnsi"/>
        </w:rPr>
        <w:t xml:space="preserve">of </w:t>
      </w:r>
      <w:r w:rsidRPr="00C730D3">
        <w:rPr>
          <w:rFonts w:asciiTheme="minorHAnsi" w:eastAsia="Times New Roman" w:hAnsiTheme="minorHAnsi"/>
        </w:rPr>
        <w:t>coverage of family court cases, this scheme would support rather than detract from such an aim, partly by permitting an element of (non-commercial) competition for the mainstream media, and by enabling non-traditional commentators such as legal bloggers and educational charities to attend “on spec” with some confidence that they will not be excluded and that there will not have been a wasted journey. We have been discouraged from attending and requesting permission to attend on a case</w:t>
      </w:r>
      <w:r w:rsidR="000C5872" w:rsidRPr="00C730D3">
        <w:rPr>
          <w:rFonts w:asciiTheme="minorHAnsi" w:eastAsia="Times New Roman" w:hAnsiTheme="minorHAnsi"/>
        </w:rPr>
        <w:t>-</w:t>
      </w:r>
      <w:r w:rsidRPr="00C730D3">
        <w:rPr>
          <w:rFonts w:asciiTheme="minorHAnsi" w:eastAsia="Times New Roman" w:hAnsiTheme="minorHAnsi"/>
        </w:rPr>
        <w:t>by</w:t>
      </w:r>
      <w:r w:rsidR="000C5872" w:rsidRPr="00C730D3">
        <w:rPr>
          <w:rFonts w:asciiTheme="minorHAnsi" w:eastAsia="Times New Roman" w:hAnsiTheme="minorHAnsi"/>
        </w:rPr>
        <w:t>-</w:t>
      </w:r>
      <w:r w:rsidRPr="00C730D3">
        <w:rPr>
          <w:rFonts w:asciiTheme="minorHAnsi" w:eastAsia="Times New Roman" w:hAnsiTheme="minorHAnsi"/>
        </w:rPr>
        <w:t xml:space="preserve">case basis on a number of occasions where the press have been in attendance, because we cannot afford the risk of wasted time and travel expenses when operating as volunteers or on a restricted charitable budget. </w:t>
      </w:r>
      <w:r w:rsidR="00BC1577" w:rsidRPr="00C730D3">
        <w:rPr>
          <w:rFonts w:asciiTheme="minorHAnsi" w:eastAsia="Times New Roman" w:hAnsiTheme="minorHAnsi"/>
        </w:rPr>
        <w:t>Although</w:t>
      </w:r>
      <w:r w:rsidRPr="00C730D3">
        <w:rPr>
          <w:rFonts w:asciiTheme="minorHAnsi" w:eastAsia="Times New Roman" w:hAnsiTheme="minorHAnsi"/>
        </w:rPr>
        <w:t xml:space="preserve"> the amendment of the rules to grant default rights of access to the press has not resulted in a significant number of journalists regularly attending hearings, for economic reasons, </w:t>
      </w:r>
      <w:r w:rsidR="00BC1577" w:rsidRPr="00C730D3">
        <w:rPr>
          <w:rFonts w:asciiTheme="minorHAnsi" w:eastAsia="Times New Roman" w:hAnsiTheme="minorHAnsi"/>
        </w:rPr>
        <w:t>it has enabled them to make a decision about whether to attend in the knowledge that they are at least unlikely to be turned away. As with journalists</w:t>
      </w:r>
      <w:r w:rsidR="004813A4" w:rsidRPr="00C730D3">
        <w:rPr>
          <w:rFonts w:asciiTheme="minorHAnsi" w:eastAsia="Times New Roman" w:hAnsiTheme="minorHAnsi"/>
        </w:rPr>
        <w:t>,</w:t>
      </w:r>
      <w:r w:rsidR="00BC1577" w:rsidRPr="00C730D3">
        <w:rPr>
          <w:rFonts w:asciiTheme="minorHAnsi" w:eastAsia="Times New Roman" w:hAnsiTheme="minorHAnsi"/>
        </w:rPr>
        <w:t xml:space="preserve"> we do not anticipate that a permissive change to the rules will result in significant numbers of legal bloggers or lawyers attending, and as such we consider that any disruption or resource implications would be minimal (and probably offset by the disruption caused when someone attends and has to make an application to be permitted entry pursuant to</w:t>
      </w:r>
      <w:r w:rsidR="00495ECF">
        <w:rPr>
          <w:rFonts w:asciiTheme="minorHAnsi" w:eastAsia="Times New Roman" w:hAnsiTheme="minorHAnsi"/>
        </w:rPr>
        <w:t xml:space="preserve"> existing</w:t>
      </w:r>
      <w:r w:rsidR="00BC1577" w:rsidRPr="00C730D3">
        <w:rPr>
          <w:rFonts w:asciiTheme="minorHAnsi" w:eastAsia="Times New Roman" w:hAnsiTheme="minorHAnsi"/>
        </w:rPr>
        <w:t xml:space="preserve"> rule </w:t>
      </w:r>
      <w:r w:rsidR="004813A4" w:rsidRPr="00C730D3">
        <w:rPr>
          <w:rFonts w:asciiTheme="minorHAnsi" w:eastAsia="Times New Roman" w:hAnsiTheme="minorHAnsi"/>
        </w:rPr>
        <w:t>27.11(2(g)</w:t>
      </w:r>
      <w:r w:rsidR="00495ECF">
        <w:rPr>
          <w:rFonts w:asciiTheme="minorHAnsi" w:eastAsia="Times New Roman" w:hAnsiTheme="minorHAnsi"/>
        </w:rPr>
        <w:t>)</w:t>
      </w:r>
      <w:r w:rsidR="00BC1577" w:rsidRPr="00C730D3">
        <w:rPr>
          <w:rFonts w:asciiTheme="minorHAnsi" w:eastAsia="Times New Roman" w:hAnsiTheme="minorHAnsi"/>
        </w:rPr>
        <w:t>.</w:t>
      </w:r>
    </w:p>
    <w:p w14:paraId="0AEB1BBD" w14:textId="77777777" w:rsidR="00777077" w:rsidRPr="00C730D3" w:rsidRDefault="00777077" w:rsidP="001E15E5">
      <w:pPr>
        <w:spacing w:line="276" w:lineRule="auto"/>
        <w:rPr>
          <w:rFonts w:asciiTheme="minorHAnsi" w:hAnsiTheme="minorHAnsi"/>
        </w:rPr>
      </w:pPr>
    </w:p>
    <w:p w14:paraId="50B3D9E1" w14:textId="255AA8E4" w:rsidR="00C92A7E" w:rsidRDefault="009A2FF5" w:rsidP="001E15E5">
      <w:pPr>
        <w:spacing w:line="276" w:lineRule="auto"/>
        <w:jc w:val="right"/>
        <w:rPr>
          <w:rFonts w:asciiTheme="minorHAnsi" w:hAnsiTheme="minorHAnsi"/>
          <w:b/>
        </w:rPr>
      </w:pPr>
      <w:r w:rsidRPr="001E15E5">
        <w:rPr>
          <w:rFonts w:asciiTheme="minorHAnsi" w:hAnsiTheme="minorHAnsi"/>
          <w:b/>
        </w:rPr>
        <w:t>Lucy Reed</w:t>
      </w:r>
    </w:p>
    <w:p w14:paraId="4E66C1FF" w14:textId="56EF9A97" w:rsidR="00C129D5" w:rsidRPr="001E15E5" w:rsidRDefault="00C129D5" w:rsidP="001E15E5">
      <w:pPr>
        <w:spacing w:line="276" w:lineRule="auto"/>
        <w:jc w:val="right"/>
        <w:rPr>
          <w:rFonts w:asciiTheme="minorHAnsi" w:hAnsiTheme="minorHAnsi"/>
          <w:b/>
        </w:rPr>
      </w:pPr>
      <w:r>
        <w:rPr>
          <w:rFonts w:asciiTheme="minorHAnsi" w:hAnsiTheme="minorHAnsi"/>
          <w:b/>
        </w:rPr>
        <w:t>Chair, The Transparency Project</w:t>
      </w:r>
    </w:p>
    <w:p w14:paraId="73948FB9" w14:textId="31B4531A" w:rsidR="009A2FF5" w:rsidRPr="001E15E5" w:rsidRDefault="009A2FF5" w:rsidP="001E15E5">
      <w:pPr>
        <w:spacing w:line="276" w:lineRule="auto"/>
        <w:jc w:val="right"/>
        <w:rPr>
          <w:rFonts w:asciiTheme="minorHAnsi" w:hAnsiTheme="minorHAnsi"/>
          <w:b/>
        </w:rPr>
      </w:pPr>
      <w:r w:rsidRPr="001E15E5">
        <w:rPr>
          <w:rFonts w:asciiTheme="minorHAnsi" w:hAnsiTheme="minorHAnsi"/>
          <w:b/>
        </w:rPr>
        <w:t>On behalf of The Transparency Project</w:t>
      </w:r>
      <w:r w:rsidR="00C129D5">
        <w:rPr>
          <w:rFonts w:asciiTheme="minorHAnsi" w:hAnsiTheme="minorHAnsi"/>
          <w:b/>
        </w:rPr>
        <w:t xml:space="preserve"> T</w:t>
      </w:r>
      <w:r w:rsidRPr="001E15E5">
        <w:rPr>
          <w:rFonts w:asciiTheme="minorHAnsi" w:hAnsiTheme="minorHAnsi"/>
          <w:b/>
        </w:rPr>
        <w:t>eam</w:t>
      </w:r>
    </w:p>
    <w:p w14:paraId="02072CFD" w14:textId="62245D73" w:rsidR="009A2FF5" w:rsidRPr="001E15E5" w:rsidRDefault="009A2FF5" w:rsidP="001E15E5">
      <w:pPr>
        <w:spacing w:line="276" w:lineRule="auto"/>
        <w:jc w:val="right"/>
        <w:rPr>
          <w:rFonts w:asciiTheme="minorHAnsi" w:hAnsiTheme="minorHAnsi"/>
          <w:b/>
        </w:rPr>
      </w:pPr>
      <w:r w:rsidRPr="001E15E5">
        <w:rPr>
          <w:rFonts w:asciiTheme="minorHAnsi" w:hAnsiTheme="minorHAnsi"/>
          <w:b/>
        </w:rPr>
        <w:t>December 2017</w:t>
      </w:r>
    </w:p>
    <w:p w14:paraId="6953FEDC" w14:textId="77777777" w:rsidR="000238D1" w:rsidRPr="00C730D3" w:rsidRDefault="000238D1" w:rsidP="001E15E5">
      <w:pPr>
        <w:spacing w:line="276" w:lineRule="auto"/>
        <w:rPr>
          <w:rFonts w:asciiTheme="minorHAnsi" w:hAnsiTheme="minorHAnsi"/>
        </w:rPr>
      </w:pPr>
    </w:p>
    <w:p w14:paraId="5AFA2131" w14:textId="77777777" w:rsidR="001E15E5" w:rsidRDefault="001E15E5" w:rsidP="001E15E5">
      <w:pPr>
        <w:spacing w:line="276" w:lineRule="auto"/>
        <w:rPr>
          <w:rFonts w:asciiTheme="minorHAnsi" w:hAnsiTheme="minorHAnsi"/>
          <w:b/>
        </w:rPr>
      </w:pPr>
      <w:r>
        <w:rPr>
          <w:rFonts w:asciiTheme="minorHAnsi" w:hAnsiTheme="minorHAnsi"/>
          <w:b/>
        </w:rPr>
        <w:br w:type="page"/>
      </w:r>
    </w:p>
    <w:p w14:paraId="6200F9AA" w14:textId="1D3C01C0" w:rsidR="001E15E5" w:rsidRPr="00C730D3" w:rsidRDefault="001E15E5" w:rsidP="001E15E5">
      <w:pPr>
        <w:spacing w:line="276" w:lineRule="auto"/>
        <w:jc w:val="center"/>
        <w:rPr>
          <w:rFonts w:asciiTheme="minorHAnsi" w:hAnsiTheme="minorHAnsi"/>
          <w:b/>
        </w:rPr>
      </w:pPr>
      <w:r w:rsidRPr="00C730D3">
        <w:rPr>
          <w:rFonts w:asciiTheme="minorHAnsi" w:hAnsiTheme="minorHAnsi"/>
          <w:b/>
        </w:rPr>
        <w:lastRenderedPageBreak/>
        <w:t xml:space="preserve">THE TRANSPARENCY PROJECT’S RESPONSE TO THE ENQUIRIES OF THE FPR RULES </w:t>
      </w:r>
      <w:proofErr w:type="gramStart"/>
      <w:r w:rsidRPr="00C730D3">
        <w:rPr>
          <w:rFonts w:asciiTheme="minorHAnsi" w:hAnsiTheme="minorHAnsi"/>
          <w:b/>
        </w:rPr>
        <w:t>COMMITTEE</w:t>
      </w:r>
      <w:r>
        <w:rPr>
          <w:rFonts w:asciiTheme="minorHAnsi" w:hAnsiTheme="minorHAnsi"/>
          <w:b/>
        </w:rPr>
        <w:t xml:space="preserve"> :</w:t>
      </w:r>
      <w:proofErr w:type="gramEnd"/>
    </w:p>
    <w:p w14:paraId="56653A27" w14:textId="66E0D938" w:rsidR="000238D1" w:rsidRPr="00C730D3" w:rsidRDefault="000238D1" w:rsidP="001E15E5">
      <w:pPr>
        <w:spacing w:line="276" w:lineRule="auto"/>
        <w:jc w:val="center"/>
        <w:rPr>
          <w:rFonts w:asciiTheme="minorHAnsi" w:hAnsiTheme="minorHAnsi"/>
          <w:b/>
        </w:rPr>
      </w:pPr>
      <w:r w:rsidRPr="00C730D3">
        <w:rPr>
          <w:rFonts w:asciiTheme="minorHAnsi" w:hAnsiTheme="minorHAnsi"/>
          <w:b/>
        </w:rPr>
        <w:t>PROPOSED AMENDMENTS (REVISED)</w:t>
      </w:r>
    </w:p>
    <w:p w14:paraId="4B66E0BD" w14:textId="77777777" w:rsidR="00304B8E" w:rsidRPr="00C730D3" w:rsidRDefault="00304B8E" w:rsidP="001E15E5">
      <w:pPr>
        <w:spacing w:line="276" w:lineRule="auto"/>
        <w:rPr>
          <w:rFonts w:asciiTheme="minorHAnsi" w:hAnsiTheme="minorHAnsi"/>
        </w:rPr>
      </w:pPr>
    </w:p>
    <w:p w14:paraId="4C58B18B" w14:textId="027F5106" w:rsidR="00304B8E" w:rsidRPr="00C730D3" w:rsidRDefault="000238D1" w:rsidP="001E15E5">
      <w:pPr>
        <w:spacing w:line="276" w:lineRule="auto"/>
        <w:rPr>
          <w:rFonts w:asciiTheme="minorHAnsi" w:eastAsia="Times New Roman" w:hAnsiTheme="minorHAnsi"/>
          <w:b/>
        </w:rPr>
      </w:pPr>
      <w:r w:rsidRPr="00C730D3">
        <w:rPr>
          <w:rFonts w:asciiTheme="minorHAnsi" w:eastAsia="Times New Roman" w:hAnsiTheme="minorHAnsi"/>
          <w:b/>
        </w:rPr>
        <w:t>FPR 27.11(2) and 27.11(8)</w:t>
      </w:r>
      <w:proofErr w:type="gramStart"/>
      <w:r w:rsidRPr="00C730D3">
        <w:rPr>
          <w:rFonts w:asciiTheme="minorHAnsi" w:eastAsia="Times New Roman" w:hAnsiTheme="minorHAnsi"/>
          <w:b/>
        </w:rPr>
        <w:t>–(</w:t>
      </w:r>
      <w:proofErr w:type="gramEnd"/>
      <w:r w:rsidRPr="00C730D3">
        <w:rPr>
          <w:rFonts w:asciiTheme="minorHAnsi" w:eastAsia="Times New Roman" w:hAnsiTheme="minorHAnsi"/>
          <w:b/>
        </w:rPr>
        <w:t>12</w:t>
      </w:r>
      <w:r w:rsidR="00304B8E" w:rsidRPr="00C730D3">
        <w:rPr>
          <w:rFonts w:asciiTheme="minorHAnsi" w:eastAsia="Times New Roman" w:hAnsiTheme="minorHAnsi"/>
          <w:b/>
        </w:rPr>
        <w:t xml:space="preserve">) </w:t>
      </w:r>
      <w:r w:rsidRPr="00C730D3">
        <w:rPr>
          <w:rFonts w:asciiTheme="minorHAnsi" w:eastAsia="Times New Roman" w:hAnsiTheme="minorHAnsi"/>
          <w:b/>
        </w:rPr>
        <w:t xml:space="preserve">will be amended </w:t>
      </w:r>
      <w:r w:rsidR="00304B8E" w:rsidRPr="00C730D3">
        <w:rPr>
          <w:rFonts w:asciiTheme="minorHAnsi" w:eastAsia="Times New Roman" w:hAnsiTheme="minorHAnsi"/>
          <w:b/>
        </w:rPr>
        <w:t>so that they read:</w:t>
      </w:r>
    </w:p>
    <w:p w14:paraId="519136C3" w14:textId="492C8A9B" w:rsidR="002C6375" w:rsidRPr="00C730D3" w:rsidRDefault="000238D1" w:rsidP="001E15E5">
      <w:pPr>
        <w:spacing w:beforeAutospacing="1" w:afterAutospacing="1" w:line="276" w:lineRule="auto"/>
        <w:rPr>
          <w:rFonts w:asciiTheme="minorHAnsi" w:hAnsiTheme="minorHAnsi"/>
          <w:i/>
          <w:iCs/>
        </w:rPr>
      </w:pPr>
      <w:r w:rsidRPr="00C730D3">
        <w:rPr>
          <w:rFonts w:asciiTheme="minorHAnsi" w:hAnsiTheme="minorHAnsi"/>
          <w:i/>
          <w:iCs/>
        </w:rPr>
        <w:t xml:space="preserve">Rule </w:t>
      </w:r>
      <w:r w:rsidR="002C6375" w:rsidRPr="00C730D3">
        <w:rPr>
          <w:rFonts w:asciiTheme="minorHAnsi" w:hAnsiTheme="minorHAnsi"/>
          <w:i/>
          <w:iCs/>
        </w:rPr>
        <w:t>27.11…</w:t>
      </w:r>
    </w:p>
    <w:p w14:paraId="01A009CD" w14:textId="4AEEABCF" w:rsidR="00304B8E" w:rsidRPr="00C730D3" w:rsidRDefault="00304B8E" w:rsidP="001E15E5">
      <w:pPr>
        <w:spacing w:beforeAutospacing="1" w:afterAutospacing="1" w:line="276" w:lineRule="auto"/>
        <w:rPr>
          <w:rFonts w:asciiTheme="minorHAnsi" w:hAnsiTheme="minorHAnsi"/>
        </w:rPr>
      </w:pPr>
      <w:r w:rsidRPr="00C730D3">
        <w:rPr>
          <w:rFonts w:asciiTheme="minorHAnsi" w:hAnsiTheme="minorHAnsi"/>
          <w:i/>
          <w:iCs/>
        </w:rPr>
        <w:t>(2) When this rule applies, no person shall be present during any hearing other than:</w:t>
      </w:r>
    </w:p>
    <w:p w14:paraId="73A4AAF4" w14:textId="77777777" w:rsidR="00304B8E" w:rsidRPr="00C730D3" w:rsidRDefault="00304B8E" w:rsidP="001E15E5">
      <w:pPr>
        <w:spacing w:beforeAutospacing="1" w:after="100" w:afterAutospacing="1" w:line="276" w:lineRule="auto"/>
        <w:rPr>
          <w:rFonts w:asciiTheme="minorHAnsi" w:hAnsiTheme="minorHAnsi"/>
        </w:rPr>
      </w:pPr>
      <w:r w:rsidRPr="00C730D3">
        <w:rPr>
          <w:rFonts w:asciiTheme="minorHAnsi" w:hAnsiTheme="minorHAnsi"/>
          <w:i/>
          <w:iCs/>
        </w:rPr>
        <w:t>a.     an officer of the court;</w:t>
      </w:r>
    </w:p>
    <w:p w14:paraId="0F3F364D" w14:textId="7777777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b.     a party to the proceedings;</w:t>
      </w:r>
    </w:p>
    <w:p w14:paraId="0712D6F5" w14:textId="4761E810"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c.     a litigation friend for any party, or legal representative instructed to act on that party</w:t>
      </w:r>
      <w:r w:rsidR="000238D1" w:rsidRPr="00C730D3">
        <w:rPr>
          <w:rFonts w:asciiTheme="minorHAnsi" w:hAnsiTheme="minorHAnsi"/>
          <w:i/>
          <w:iCs/>
        </w:rPr>
        <w:t>’</w:t>
      </w:r>
      <w:r w:rsidRPr="00C730D3">
        <w:rPr>
          <w:rFonts w:asciiTheme="minorHAnsi" w:hAnsiTheme="minorHAnsi"/>
          <w:i/>
          <w:iCs/>
        </w:rPr>
        <w:t>s behalf;</w:t>
      </w:r>
    </w:p>
    <w:p w14:paraId="78CD2435" w14:textId="7777777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d.     an officer of the service or Welsh family proceedings officer;</w:t>
      </w:r>
    </w:p>
    <w:p w14:paraId="70F2EFB9" w14:textId="7777777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e.     a witness;</w:t>
      </w:r>
    </w:p>
    <w:p w14:paraId="32E390C2" w14:textId="7777777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 xml:space="preserve">f.     duly accredited representatives of news gathering and reporting </w:t>
      </w:r>
      <w:proofErr w:type="spellStart"/>
      <w:r w:rsidRPr="00C730D3">
        <w:rPr>
          <w:rFonts w:asciiTheme="minorHAnsi" w:hAnsiTheme="minorHAnsi"/>
          <w:i/>
          <w:iCs/>
        </w:rPr>
        <w:t>organisations</w:t>
      </w:r>
      <w:proofErr w:type="spellEnd"/>
      <w:r w:rsidRPr="00C730D3">
        <w:rPr>
          <w:rFonts w:asciiTheme="minorHAnsi" w:hAnsiTheme="minorHAnsi"/>
          <w:i/>
          <w:iCs/>
        </w:rPr>
        <w:t>;</w:t>
      </w:r>
    </w:p>
    <w:p w14:paraId="5F352264" w14:textId="7A5941C3"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 xml:space="preserve">g.     a duly </w:t>
      </w:r>
      <w:r w:rsidR="000238D1" w:rsidRPr="00C730D3">
        <w:rPr>
          <w:rFonts w:asciiTheme="minorHAnsi" w:hAnsiTheme="minorHAnsi"/>
          <w:i/>
          <w:iCs/>
        </w:rPr>
        <w:t>authorized</w:t>
      </w:r>
      <w:r w:rsidRPr="00C730D3">
        <w:rPr>
          <w:rFonts w:asciiTheme="minorHAnsi" w:hAnsiTheme="minorHAnsi"/>
          <w:i/>
          <w:iCs/>
        </w:rPr>
        <w:t xml:space="preserve"> lawyer; and</w:t>
      </w:r>
    </w:p>
    <w:p w14:paraId="14752DD9" w14:textId="7777777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h.     any other person whom the court permits to be present.</w:t>
      </w:r>
    </w:p>
    <w:p w14:paraId="6E6C974D" w14:textId="4FDF7B6C" w:rsidR="00304B8E" w:rsidRPr="00C730D3" w:rsidRDefault="00304B8E" w:rsidP="001E15E5">
      <w:pPr>
        <w:spacing w:line="276" w:lineRule="auto"/>
        <w:rPr>
          <w:rFonts w:asciiTheme="minorHAnsi" w:eastAsia="Times New Roman" w:hAnsiTheme="minorHAnsi"/>
        </w:rPr>
      </w:pPr>
      <w:proofErr w:type="gramStart"/>
      <w:r w:rsidRPr="00C730D3">
        <w:rPr>
          <w:rFonts w:asciiTheme="minorHAnsi" w:eastAsia="Times New Roman" w:hAnsiTheme="minorHAnsi"/>
          <w:i/>
          <w:iCs/>
        </w:rPr>
        <w:t>…(</w:t>
      </w:r>
      <w:proofErr w:type="gramEnd"/>
      <w:r w:rsidRPr="00C730D3">
        <w:rPr>
          <w:rFonts w:asciiTheme="minorHAnsi" w:eastAsia="Times New Roman" w:hAnsiTheme="minorHAnsi"/>
          <w:i/>
          <w:iCs/>
        </w:rPr>
        <w:t xml:space="preserve">8) In this rule a </w:t>
      </w:r>
      <w:r w:rsidR="000238D1" w:rsidRPr="00C730D3">
        <w:rPr>
          <w:rFonts w:asciiTheme="minorHAnsi" w:eastAsia="Times New Roman" w:hAnsiTheme="minorHAnsi"/>
          <w:i/>
          <w:iCs/>
        </w:rPr>
        <w:t>‘</w:t>
      </w:r>
      <w:r w:rsidRPr="00C730D3">
        <w:rPr>
          <w:rFonts w:asciiTheme="minorHAnsi" w:eastAsia="Times New Roman" w:hAnsiTheme="minorHAnsi"/>
          <w:i/>
          <w:iCs/>
        </w:rPr>
        <w:t xml:space="preserve">duly </w:t>
      </w:r>
      <w:r w:rsidR="000238D1" w:rsidRPr="00C730D3">
        <w:rPr>
          <w:rFonts w:asciiTheme="minorHAnsi" w:eastAsia="Times New Roman" w:hAnsiTheme="minorHAnsi"/>
          <w:i/>
          <w:iCs/>
        </w:rPr>
        <w:t>authorized</w:t>
      </w:r>
      <w:r w:rsidRPr="00C730D3">
        <w:rPr>
          <w:rFonts w:asciiTheme="minorHAnsi" w:eastAsia="Times New Roman" w:hAnsiTheme="minorHAnsi"/>
          <w:i/>
          <w:iCs/>
        </w:rPr>
        <w:t xml:space="preserve"> lawyer</w:t>
      </w:r>
      <w:r w:rsidR="000238D1" w:rsidRPr="00C730D3">
        <w:rPr>
          <w:rFonts w:asciiTheme="minorHAnsi" w:eastAsia="Times New Roman" w:hAnsiTheme="minorHAnsi"/>
          <w:i/>
          <w:iCs/>
        </w:rPr>
        <w:t>’</w:t>
      </w:r>
      <w:r w:rsidRPr="00C730D3">
        <w:rPr>
          <w:rFonts w:asciiTheme="minorHAnsi" w:eastAsia="Times New Roman" w:hAnsiTheme="minorHAnsi"/>
          <w:i/>
          <w:iCs/>
        </w:rPr>
        <w:t xml:space="preserve"> means a lawyer who is </w:t>
      </w:r>
      <w:r w:rsidR="000238D1" w:rsidRPr="00C730D3">
        <w:rPr>
          <w:rFonts w:asciiTheme="minorHAnsi" w:eastAsia="Times New Roman" w:hAnsiTheme="minorHAnsi"/>
          <w:i/>
          <w:iCs/>
        </w:rPr>
        <w:t>authorized</w:t>
      </w:r>
      <w:r w:rsidRPr="00C730D3">
        <w:rPr>
          <w:rFonts w:asciiTheme="minorHAnsi" w:eastAsia="Times New Roman" w:hAnsiTheme="minorHAnsi"/>
          <w:i/>
          <w:iCs/>
        </w:rPr>
        <w:t xml:space="preserve"> in accordance with any administrative scheme for the time being approved for the purposes of this rule by the Lord Chancellor.(9) In this rule </w:t>
      </w:r>
      <w:r w:rsidR="000238D1" w:rsidRPr="00C730D3">
        <w:rPr>
          <w:rFonts w:asciiTheme="minorHAnsi" w:eastAsia="Times New Roman" w:hAnsiTheme="minorHAnsi"/>
          <w:i/>
          <w:iCs/>
        </w:rPr>
        <w:t>‘</w:t>
      </w:r>
      <w:r w:rsidRPr="00C730D3">
        <w:rPr>
          <w:rFonts w:asciiTheme="minorHAnsi" w:eastAsia="Times New Roman" w:hAnsiTheme="minorHAnsi"/>
          <w:i/>
          <w:iCs/>
        </w:rPr>
        <w:t xml:space="preserve">duly </w:t>
      </w:r>
      <w:r w:rsidR="000238D1" w:rsidRPr="00C730D3">
        <w:rPr>
          <w:rFonts w:asciiTheme="minorHAnsi" w:eastAsia="Times New Roman" w:hAnsiTheme="minorHAnsi"/>
          <w:i/>
          <w:iCs/>
        </w:rPr>
        <w:t>authorized</w:t>
      </w:r>
      <w:r w:rsidRPr="00C730D3">
        <w:rPr>
          <w:rFonts w:asciiTheme="minorHAnsi" w:eastAsia="Times New Roman" w:hAnsiTheme="minorHAnsi"/>
          <w:i/>
          <w:iCs/>
        </w:rPr>
        <w:t xml:space="preserve"> lawyer</w:t>
      </w:r>
      <w:r w:rsidR="000238D1" w:rsidRPr="00C730D3">
        <w:rPr>
          <w:rFonts w:asciiTheme="minorHAnsi" w:eastAsia="Times New Roman" w:hAnsiTheme="minorHAnsi"/>
          <w:i/>
          <w:iCs/>
        </w:rPr>
        <w:t>’</w:t>
      </w:r>
      <w:r w:rsidRPr="00C730D3">
        <w:rPr>
          <w:rFonts w:asciiTheme="minorHAnsi" w:eastAsia="Times New Roman" w:hAnsiTheme="minorHAnsi"/>
          <w:i/>
          <w:iCs/>
        </w:rPr>
        <w:t xml:space="preserve"> means:</w:t>
      </w:r>
    </w:p>
    <w:p w14:paraId="56F54B06" w14:textId="4E0F75AD"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 xml:space="preserve">a.     </w:t>
      </w:r>
      <w:r w:rsidR="002C6375" w:rsidRPr="00C730D3">
        <w:rPr>
          <w:rFonts w:asciiTheme="minorHAnsi" w:eastAsia="Times New Roman" w:hAnsiTheme="minorHAnsi"/>
          <w:i/>
          <w:iCs/>
        </w:rPr>
        <w:t>a qualified lawyer who is</w:t>
      </w:r>
      <w:r w:rsidR="002C6375" w:rsidRPr="00C730D3">
        <w:rPr>
          <w:rFonts w:asciiTheme="minorHAnsi" w:hAnsiTheme="minorHAnsi"/>
          <w:i/>
          <w:iCs/>
        </w:rPr>
        <w:t xml:space="preserve"> </w:t>
      </w:r>
      <w:r w:rsidRPr="00C730D3">
        <w:rPr>
          <w:rFonts w:asciiTheme="minorHAnsi" w:hAnsiTheme="minorHAnsi"/>
          <w:i/>
          <w:iCs/>
        </w:rPr>
        <w:t>currently entitled to conduct litigation or advocacy in the family court in England and Wales;</w:t>
      </w:r>
    </w:p>
    <w:p w14:paraId="1B4C0E4F" w14:textId="7DCA2679" w:rsidR="00304B8E" w:rsidRPr="00C730D3" w:rsidRDefault="002C6375" w:rsidP="001E15E5">
      <w:pPr>
        <w:spacing w:before="100" w:beforeAutospacing="1" w:after="100" w:afterAutospacing="1" w:line="276" w:lineRule="auto"/>
        <w:rPr>
          <w:rFonts w:asciiTheme="minorHAnsi" w:hAnsiTheme="minorHAnsi"/>
        </w:rPr>
      </w:pPr>
      <w:r w:rsidRPr="00C730D3">
        <w:rPr>
          <w:rFonts w:asciiTheme="minorHAnsi" w:hAnsiTheme="minorHAnsi"/>
          <w:i/>
          <w:iCs/>
        </w:rPr>
        <w:t>b.    </w:t>
      </w:r>
      <w:r w:rsidR="00304B8E" w:rsidRPr="00C730D3">
        <w:rPr>
          <w:rFonts w:asciiTheme="minorHAnsi" w:hAnsiTheme="minorHAnsi"/>
          <w:i/>
          <w:iCs/>
        </w:rPr>
        <w:t xml:space="preserve">a </w:t>
      </w:r>
      <w:r w:rsidR="000238D1" w:rsidRPr="00C730D3">
        <w:rPr>
          <w:rFonts w:asciiTheme="minorHAnsi" w:hAnsiTheme="minorHAnsi"/>
          <w:i/>
          <w:iCs/>
        </w:rPr>
        <w:t>lawyer</w:t>
      </w:r>
      <w:r w:rsidR="00304B8E" w:rsidRPr="00C730D3">
        <w:rPr>
          <w:rFonts w:asciiTheme="minorHAnsi" w:hAnsiTheme="minorHAnsi"/>
          <w:i/>
          <w:iCs/>
        </w:rPr>
        <w:t xml:space="preserve"> </w:t>
      </w:r>
      <w:r w:rsidRPr="00C730D3">
        <w:rPr>
          <w:rFonts w:asciiTheme="minorHAnsi" w:hAnsiTheme="minorHAnsi"/>
          <w:i/>
          <w:iCs/>
        </w:rPr>
        <w:t xml:space="preserve">working for the Law School or Department of </w:t>
      </w:r>
      <w:r w:rsidR="00304B8E" w:rsidRPr="00C730D3">
        <w:rPr>
          <w:rFonts w:asciiTheme="minorHAnsi" w:hAnsiTheme="minorHAnsi"/>
          <w:i/>
          <w:iCs/>
        </w:rPr>
        <w:t>a Higher Education Institutio</w:t>
      </w:r>
      <w:r w:rsidRPr="00C730D3">
        <w:rPr>
          <w:rFonts w:asciiTheme="minorHAnsi" w:hAnsiTheme="minorHAnsi"/>
          <w:i/>
          <w:iCs/>
        </w:rPr>
        <w:t xml:space="preserve">n in England and Wales in a teaching or </w:t>
      </w:r>
      <w:r w:rsidR="00304B8E" w:rsidRPr="00C730D3">
        <w:rPr>
          <w:rFonts w:asciiTheme="minorHAnsi" w:hAnsiTheme="minorHAnsi"/>
          <w:i/>
          <w:iCs/>
        </w:rPr>
        <w:t>research</w:t>
      </w:r>
      <w:r w:rsidRPr="00C730D3">
        <w:rPr>
          <w:rFonts w:asciiTheme="minorHAnsi" w:hAnsiTheme="minorHAnsi"/>
          <w:i/>
          <w:iCs/>
        </w:rPr>
        <w:t xml:space="preserve"> capacity</w:t>
      </w:r>
      <w:r w:rsidR="00304B8E" w:rsidRPr="00C730D3">
        <w:rPr>
          <w:rFonts w:asciiTheme="minorHAnsi" w:hAnsiTheme="minorHAnsi"/>
          <w:i/>
          <w:iCs/>
        </w:rPr>
        <w:t>; or</w:t>
      </w:r>
    </w:p>
    <w:p w14:paraId="4FCD9A1B" w14:textId="4B8EBFB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 xml:space="preserve">c.     a lawyer employed or acting on behalf of an </w:t>
      </w:r>
      <w:r w:rsidR="00C730D3" w:rsidRPr="00C730D3">
        <w:rPr>
          <w:rFonts w:asciiTheme="minorHAnsi" w:hAnsiTheme="minorHAnsi"/>
          <w:i/>
          <w:iCs/>
        </w:rPr>
        <w:t>a</w:t>
      </w:r>
      <w:r w:rsidR="000238D1" w:rsidRPr="00C730D3">
        <w:rPr>
          <w:rFonts w:asciiTheme="minorHAnsi" w:hAnsiTheme="minorHAnsi"/>
          <w:i/>
          <w:iCs/>
        </w:rPr>
        <w:t>uthorized</w:t>
      </w:r>
      <w:r w:rsidRPr="00C730D3">
        <w:rPr>
          <w:rFonts w:asciiTheme="minorHAnsi" w:hAnsiTheme="minorHAnsi"/>
          <w:i/>
          <w:iCs/>
        </w:rPr>
        <w:t xml:space="preserve"> educational charity registered in England and Wales.</w:t>
      </w:r>
    </w:p>
    <w:p w14:paraId="1D9DDA7F" w14:textId="3E5DB562" w:rsidR="00304B8E" w:rsidRPr="00C730D3" w:rsidRDefault="000238D1" w:rsidP="001E15E5">
      <w:pPr>
        <w:spacing w:line="276" w:lineRule="auto"/>
        <w:rPr>
          <w:rFonts w:asciiTheme="minorHAnsi" w:eastAsia="Times New Roman" w:hAnsiTheme="minorHAnsi"/>
          <w:i/>
          <w:iCs/>
        </w:rPr>
      </w:pPr>
      <w:r w:rsidRPr="00C730D3">
        <w:rPr>
          <w:rFonts w:asciiTheme="minorHAnsi" w:eastAsia="Times New Roman" w:hAnsiTheme="minorHAnsi"/>
          <w:i/>
          <w:iCs/>
        </w:rPr>
        <w:t>(10) An “</w:t>
      </w:r>
      <w:r w:rsidR="00C730D3" w:rsidRPr="00C730D3">
        <w:rPr>
          <w:rFonts w:asciiTheme="minorHAnsi" w:eastAsia="Times New Roman" w:hAnsiTheme="minorHAnsi"/>
          <w:i/>
          <w:iCs/>
        </w:rPr>
        <w:t>a</w:t>
      </w:r>
      <w:r w:rsidRPr="00C730D3">
        <w:rPr>
          <w:rFonts w:asciiTheme="minorHAnsi" w:eastAsia="Times New Roman" w:hAnsiTheme="minorHAnsi"/>
          <w:i/>
          <w:iCs/>
        </w:rPr>
        <w:t>uthorized educational charity”</w:t>
      </w:r>
      <w:r w:rsidR="00304B8E" w:rsidRPr="00C730D3">
        <w:rPr>
          <w:rFonts w:asciiTheme="minorHAnsi" w:eastAsia="Times New Roman" w:hAnsiTheme="minorHAnsi"/>
          <w:i/>
          <w:iCs/>
        </w:rPr>
        <w:t xml:space="preserve"> is a charity that has been approved by the Lord Chancellor or the President of the Family Division as such.</w:t>
      </w:r>
    </w:p>
    <w:p w14:paraId="59084B56" w14:textId="77777777" w:rsidR="002C6375" w:rsidRPr="00C730D3" w:rsidRDefault="002C6375" w:rsidP="001E15E5">
      <w:pPr>
        <w:spacing w:line="276" w:lineRule="auto"/>
        <w:rPr>
          <w:rFonts w:asciiTheme="minorHAnsi" w:eastAsia="Times New Roman" w:hAnsiTheme="minorHAnsi"/>
          <w:i/>
        </w:rPr>
      </w:pPr>
    </w:p>
    <w:p w14:paraId="2644B473" w14:textId="7EF9C642" w:rsidR="00DA1B89" w:rsidRPr="00C730D3" w:rsidRDefault="002C6375" w:rsidP="001E15E5">
      <w:pPr>
        <w:pStyle w:val="ListParagraph"/>
        <w:numPr>
          <w:ilvl w:val="0"/>
          <w:numId w:val="7"/>
        </w:numPr>
        <w:spacing w:line="276" w:lineRule="auto"/>
        <w:rPr>
          <w:i/>
        </w:rPr>
      </w:pPr>
      <w:r w:rsidRPr="00C730D3">
        <w:rPr>
          <w:rFonts w:eastAsia="Times New Roman" w:cs="Times New Roman"/>
          <w:i/>
        </w:rPr>
        <w:lastRenderedPageBreak/>
        <w:t xml:space="preserve">(11) For the purposes of </w:t>
      </w:r>
      <w:r w:rsidR="000238D1" w:rsidRPr="00C730D3">
        <w:rPr>
          <w:rFonts w:eastAsia="Times New Roman" w:cs="Times New Roman"/>
          <w:i/>
        </w:rPr>
        <w:t xml:space="preserve">this rule </w:t>
      </w:r>
      <w:r w:rsidRPr="00C730D3">
        <w:rPr>
          <w:rFonts w:eastAsia="Times New Roman" w:cs="Times New Roman"/>
          <w:i/>
        </w:rPr>
        <w:t xml:space="preserve">a </w:t>
      </w:r>
      <w:r w:rsidR="000238D1" w:rsidRPr="00C730D3">
        <w:rPr>
          <w:rFonts w:eastAsia="Times New Roman" w:cs="Times New Roman"/>
          <w:i/>
        </w:rPr>
        <w:t>“</w:t>
      </w:r>
      <w:r w:rsidRPr="00C730D3">
        <w:rPr>
          <w:rFonts w:eastAsia="Times New Roman" w:cs="Times New Roman"/>
          <w:i/>
        </w:rPr>
        <w:t>lawyer</w:t>
      </w:r>
      <w:r w:rsidR="000238D1" w:rsidRPr="00C730D3">
        <w:rPr>
          <w:rFonts w:eastAsia="Times New Roman" w:cs="Times New Roman"/>
          <w:i/>
        </w:rPr>
        <w:t>”</w:t>
      </w:r>
      <w:r w:rsidRPr="00C730D3">
        <w:rPr>
          <w:rFonts w:eastAsia="Times New Roman" w:cs="Times New Roman"/>
          <w:i/>
        </w:rPr>
        <w:t xml:space="preserve"> is a person who holds a </w:t>
      </w:r>
      <w:r w:rsidR="00DA1B89" w:rsidRPr="00C730D3">
        <w:rPr>
          <w:i/>
        </w:rPr>
        <w:t>qualifying law degree as defined by the Bar Standards Board or Solicitors Regulatory Authority, or</w:t>
      </w:r>
    </w:p>
    <w:p w14:paraId="34CB6BAE" w14:textId="71AF431E" w:rsidR="00DA1B89" w:rsidRPr="00C730D3" w:rsidRDefault="00DA1B89" w:rsidP="001E15E5">
      <w:pPr>
        <w:pStyle w:val="ListParagraph"/>
        <w:numPr>
          <w:ilvl w:val="0"/>
          <w:numId w:val="7"/>
        </w:numPr>
        <w:spacing w:line="276" w:lineRule="auto"/>
        <w:rPr>
          <w:i/>
        </w:rPr>
      </w:pPr>
      <w:r w:rsidRPr="00C730D3">
        <w:rPr>
          <w:i/>
        </w:rPr>
        <w:t xml:space="preserve">a degree, plus either </w:t>
      </w:r>
      <w:r w:rsidRPr="00C730D3">
        <w:rPr>
          <w:rFonts w:eastAsia="Times New Roman" w:cs="Arial"/>
          <w:i/>
          <w:color w:val="000000"/>
        </w:rPr>
        <w:t xml:space="preserve">the Common Professional Examination (CPE), an approved Graduate Diploma in Law (GDL) course or the </w:t>
      </w:r>
      <w:r w:rsidRPr="00C730D3">
        <w:rPr>
          <w:i/>
        </w:rPr>
        <w:t>Solicitors Qualifying Examination</w:t>
      </w:r>
      <w:r w:rsidRPr="00C730D3">
        <w:rPr>
          <w:rFonts w:eastAsia="Times New Roman" w:cs="Arial"/>
          <w:i/>
          <w:color w:val="000000"/>
        </w:rPr>
        <w:t xml:space="preserve"> (SQE)</w:t>
      </w:r>
      <w:r w:rsidR="00E00016">
        <w:rPr>
          <w:rFonts w:eastAsia="Times New Roman" w:cs="Arial"/>
          <w:i/>
          <w:color w:val="000000"/>
        </w:rPr>
        <w:t xml:space="preserve">, or a postgraduate legal qualification. </w:t>
      </w:r>
    </w:p>
    <w:p w14:paraId="5023A339" w14:textId="77777777" w:rsidR="002C6375" w:rsidRPr="00C730D3" w:rsidRDefault="002C6375" w:rsidP="001E15E5">
      <w:pPr>
        <w:spacing w:line="276" w:lineRule="auto"/>
        <w:rPr>
          <w:rFonts w:asciiTheme="minorHAnsi" w:eastAsia="Times New Roman" w:hAnsiTheme="minorHAnsi"/>
          <w:i/>
        </w:rPr>
      </w:pPr>
    </w:p>
    <w:p w14:paraId="49B2EFFA" w14:textId="77777777" w:rsidR="00DA1B89" w:rsidRDefault="002C6375" w:rsidP="001E15E5">
      <w:pPr>
        <w:spacing w:line="276" w:lineRule="auto"/>
        <w:rPr>
          <w:rFonts w:asciiTheme="minorHAnsi" w:hAnsiTheme="minorHAnsi"/>
          <w:i/>
        </w:rPr>
      </w:pPr>
      <w:r w:rsidRPr="00C730D3">
        <w:rPr>
          <w:rFonts w:asciiTheme="minorHAnsi" w:eastAsia="Times New Roman" w:hAnsiTheme="minorHAnsi"/>
          <w:i/>
        </w:rPr>
        <w:t xml:space="preserve">(12) </w:t>
      </w:r>
      <w:r w:rsidR="00DA1B89" w:rsidRPr="00C730D3">
        <w:rPr>
          <w:rFonts w:asciiTheme="minorHAnsi" w:hAnsiTheme="minorHAnsi"/>
          <w:i/>
        </w:rPr>
        <w:t>For the purposes of this rule a “qualified lawyer” is a person who h</w:t>
      </w:r>
      <w:r w:rsidR="00DA1B89">
        <w:rPr>
          <w:rFonts w:asciiTheme="minorHAnsi" w:hAnsiTheme="minorHAnsi"/>
          <w:i/>
        </w:rPr>
        <w:t xml:space="preserve">olds a current </w:t>
      </w:r>
      <w:proofErr w:type="spellStart"/>
      <w:r w:rsidR="00DA1B89">
        <w:rPr>
          <w:rFonts w:asciiTheme="minorHAnsi" w:hAnsiTheme="minorHAnsi"/>
          <w:i/>
        </w:rPr>
        <w:t>practising</w:t>
      </w:r>
      <w:proofErr w:type="spellEnd"/>
      <w:r w:rsidR="00DA1B89">
        <w:rPr>
          <w:rFonts w:asciiTheme="minorHAnsi" w:hAnsiTheme="minorHAnsi"/>
          <w:i/>
        </w:rPr>
        <w:t xml:space="preserve"> certificate authorizing them to conduct litigation or exercise rights of audience in the Family Court in England &amp; Wales.</w:t>
      </w:r>
    </w:p>
    <w:p w14:paraId="432E77CA" w14:textId="77777777" w:rsidR="002C6375" w:rsidRPr="00C730D3" w:rsidRDefault="002C6375" w:rsidP="001E15E5">
      <w:pPr>
        <w:spacing w:line="276" w:lineRule="auto"/>
        <w:rPr>
          <w:rFonts w:asciiTheme="minorHAnsi" w:eastAsia="Times New Roman" w:hAnsiTheme="minorHAnsi"/>
        </w:rPr>
      </w:pPr>
    </w:p>
    <w:p w14:paraId="4BD40810" w14:textId="7A5767EB" w:rsidR="00304B8E" w:rsidRPr="00C730D3" w:rsidRDefault="00304B8E" w:rsidP="001E15E5">
      <w:pPr>
        <w:spacing w:line="276" w:lineRule="auto"/>
        <w:rPr>
          <w:rFonts w:asciiTheme="minorHAnsi" w:eastAsia="Times New Roman" w:hAnsiTheme="minorHAnsi"/>
          <w:b/>
        </w:rPr>
      </w:pPr>
      <w:r w:rsidRPr="00C730D3">
        <w:rPr>
          <w:rFonts w:asciiTheme="minorHAnsi" w:eastAsia="Times New Roman" w:hAnsiTheme="minorHAnsi"/>
          <w:b/>
        </w:rPr>
        <w:t>P</w:t>
      </w:r>
      <w:r w:rsidR="000238D1" w:rsidRPr="00C730D3">
        <w:rPr>
          <w:rFonts w:asciiTheme="minorHAnsi" w:eastAsia="Times New Roman" w:hAnsiTheme="minorHAnsi"/>
          <w:b/>
        </w:rPr>
        <w:t xml:space="preserve">ractice </w:t>
      </w:r>
      <w:r w:rsidRPr="00C730D3">
        <w:rPr>
          <w:rFonts w:asciiTheme="minorHAnsi" w:eastAsia="Times New Roman" w:hAnsiTheme="minorHAnsi"/>
          <w:b/>
        </w:rPr>
        <w:t>D</w:t>
      </w:r>
      <w:r w:rsidR="000238D1" w:rsidRPr="00C730D3">
        <w:rPr>
          <w:rFonts w:asciiTheme="minorHAnsi" w:eastAsia="Times New Roman" w:hAnsiTheme="minorHAnsi"/>
          <w:b/>
        </w:rPr>
        <w:t xml:space="preserve">irection </w:t>
      </w:r>
      <w:r w:rsidRPr="00C730D3">
        <w:rPr>
          <w:rFonts w:asciiTheme="minorHAnsi" w:eastAsia="Times New Roman" w:hAnsiTheme="minorHAnsi"/>
          <w:b/>
        </w:rPr>
        <w:t xml:space="preserve">27C </w:t>
      </w:r>
      <w:r w:rsidR="000238D1" w:rsidRPr="00C730D3">
        <w:rPr>
          <w:rFonts w:asciiTheme="minorHAnsi" w:eastAsia="Times New Roman" w:hAnsiTheme="minorHAnsi"/>
          <w:b/>
        </w:rPr>
        <w:t xml:space="preserve">will include a new </w:t>
      </w:r>
      <w:r w:rsidRPr="00C730D3">
        <w:rPr>
          <w:rFonts w:asciiTheme="minorHAnsi" w:eastAsia="Times New Roman" w:hAnsiTheme="minorHAnsi"/>
          <w:b/>
        </w:rPr>
        <w:t>para</w:t>
      </w:r>
      <w:r w:rsidR="000238D1" w:rsidRPr="00C730D3">
        <w:rPr>
          <w:rFonts w:asciiTheme="minorHAnsi" w:eastAsia="Times New Roman" w:hAnsiTheme="minorHAnsi"/>
          <w:b/>
        </w:rPr>
        <w:t>graph</w:t>
      </w:r>
      <w:r w:rsidRPr="00C730D3">
        <w:rPr>
          <w:rFonts w:asciiTheme="minorHAnsi" w:eastAsia="Times New Roman" w:hAnsiTheme="minorHAnsi"/>
          <w:b/>
        </w:rPr>
        <w:t xml:space="preserve"> 4A</w:t>
      </w:r>
      <w:r w:rsidR="000238D1" w:rsidRPr="00C730D3">
        <w:rPr>
          <w:rFonts w:asciiTheme="minorHAnsi" w:eastAsia="Times New Roman" w:hAnsiTheme="minorHAnsi"/>
          <w:b/>
        </w:rPr>
        <w:t xml:space="preserve"> as </w:t>
      </w:r>
      <w:proofErr w:type="gramStart"/>
      <w:r w:rsidR="000238D1" w:rsidRPr="00C730D3">
        <w:rPr>
          <w:rFonts w:asciiTheme="minorHAnsi" w:eastAsia="Times New Roman" w:hAnsiTheme="minorHAnsi"/>
          <w:b/>
        </w:rPr>
        <w:t xml:space="preserve">follows </w:t>
      </w:r>
      <w:r w:rsidRPr="00C730D3">
        <w:rPr>
          <w:rFonts w:asciiTheme="minorHAnsi" w:eastAsia="Times New Roman" w:hAnsiTheme="minorHAnsi"/>
          <w:b/>
        </w:rPr>
        <w:t>:</w:t>
      </w:r>
      <w:proofErr w:type="gramEnd"/>
    </w:p>
    <w:p w14:paraId="2046240F" w14:textId="10B2A7A4" w:rsidR="00304B8E" w:rsidRPr="00C730D3" w:rsidRDefault="00304B8E" w:rsidP="001E15E5">
      <w:pPr>
        <w:spacing w:beforeAutospacing="1" w:after="100" w:afterAutospacing="1" w:line="276" w:lineRule="auto"/>
        <w:rPr>
          <w:rFonts w:asciiTheme="minorHAnsi" w:hAnsiTheme="minorHAnsi"/>
        </w:rPr>
      </w:pPr>
      <w:r w:rsidRPr="00C730D3">
        <w:rPr>
          <w:rFonts w:asciiTheme="minorHAnsi" w:hAnsiTheme="minorHAnsi"/>
          <w:i/>
          <w:iCs/>
        </w:rPr>
        <w:t>4A. Identification of lawyers as '</w:t>
      </w:r>
      <w:proofErr w:type="spellStart"/>
      <w:r w:rsidRPr="00C730D3">
        <w:rPr>
          <w:rFonts w:asciiTheme="minorHAnsi" w:hAnsiTheme="minorHAnsi"/>
          <w:i/>
          <w:iCs/>
        </w:rPr>
        <w:t>authorised</w:t>
      </w:r>
      <w:proofErr w:type="spellEnd"/>
      <w:r w:rsidRPr="00C730D3">
        <w:rPr>
          <w:rFonts w:asciiTheme="minorHAnsi" w:hAnsiTheme="minorHAnsi"/>
          <w:i/>
          <w:iCs/>
        </w:rPr>
        <w:t>' –</w:t>
      </w:r>
    </w:p>
    <w:p w14:paraId="3DE2098C" w14:textId="636B7187"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 xml:space="preserve">(1) </w:t>
      </w:r>
      <w:r w:rsidR="000238D1" w:rsidRPr="00C730D3">
        <w:rPr>
          <w:rFonts w:asciiTheme="minorHAnsi" w:hAnsiTheme="minorHAnsi"/>
          <w:i/>
          <w:iCs/>
        </w:rPr>
        <w:t>L</w:t>
      </w:r>
      <w:r w:rsidRPr="00C730D3">
        <w:rPr>
          <w:rFonts w:asciiTheme="minorHAnsi" w:hAnsiTheme="minorHAnsi"/>
          <w:i/>
          <w:iCs/>
        </w:rPr>
        <w:t>awyers will be expected to carry with them identification sufficient to enable court staff, or if necessary the court itself, to verify that they are '</w:t>
      </w:r>
      <w:proofErr w:type="spellStart"/>
      <w:r w:rsidRPr="00C730D3">
        <w:rPr>
          <w:rFonts w:asciiTheme="minorHAnsi" w:hAnsiTheme="minorHAnsi"/>
          <w:i/>
          <w:iCs/>
        </w:rPr>
        <w:t>authorised</w:t>
      </w:r>
      <w:proofErr w:type="spellEnd"/>
      <w:r w:rsidRPr="00C730D3">
        <w:rPr>
          <w:rFonts w:asciiTheme="minorHAnsi" w:hAnsiTheme="minorHAnsi"/>
          <w:i/>
          <w:iCs/>
        </w:rPr>
        <w:t>' lawyers within the meaning of the rule.</w:t>
      </w:r>
    </w:p>
    <w:p w14:paraId="23951F3F" w14:textId="77777777" w:rsidR="00304B8E" w:rsidRPr="00C730D3" w:rsidRDefault="00304B8E" w:rsidP="001E15E5">
      <w:pPr>
        <w:spacing w:before="100" w:beforeAutospacing="1" w:afterAutospacing="1" w:line="276" w:lineRule="auto"/>
        <w:rPr>
          <w:rFonts w:asciiTheme="minorHAnsi" w:hAnsiTheme="minorHAnsi"/>
        </w:rPr>
      </w:pPr>
      <w:r w:rsidRPr="00C730D3">
        <w:rPr>
          <w:rFonts w:asciiTheme="minorHAnsi" w:hAnsiTheme="minorHAnsi"/>
          <w:i/>
          <w:iCs/>
        </w:rPr>
        <w:t xml:space="preserve">(2) By virtue of para 8 of the rule, it is for the Lord Chancellor to approve a scheme which will provide for accreditation. The Lord Chancellor has decided that the following forms of identification provide sufficient information and production of such identification will be both necessary and sufficient to demonstrate </w:t>
      </w:r>
      <w:proofErr w:type="spellStart"/>
      <w:r w:rsidRPr="00C730D3">
        <w:rPr>
          <w:rFonts w:asciiTheme="minorHAnsi" w:hAnsiTheme="minorHAnsi"/>
          <w:i/>
          <w:iCs/>
        </w:rPr>
        <w:t>authorised</w:t>
      </w:r>
      <w:proofErr w:type="spellEnd"/>
      <w:r w:rsidRPr="00C730D3">
        <w:rPr>
          <w:rFonts w:asciiTheme="minorHAnsi" w:hAnsiTheme="minorHAnsi"/>
          <w:i/>
          <w:iCs/>
        </w:rPr>
        <w:t xml:space="preserve"> status:</w:t>
      </w:r>
    </w:p>
    <w:p w14:paraId="2ADC7021" w14:textId="77777777" w:rsidR="00304B8E" w:rsidRPr="00C730D3" w:rsidRDefault="00304B8E" w:rsidP="001E15E5">
      <w:pPr>
        <w:spacing w:beforeAutospacing="1" w:after="100" w:afterAutospacing="1" w:line="276" w:lineRule="auto"/>
        <w:rPr>
          <w:rFonts w:asciiTheme="minorHAnsi" w:hAnsiTheme="minorHAnsi"/>
        </w:rPr>
      </w:pPr>
      <w:r w:rsidRPr="00C730D3">
        <w:rPr>
          <w:rFonts w:asciiTheme="minorHAnsi" w:hAnsiTheme="minorHAnsi"/>
          <w:i/>
          <w:iCs/>
        </w:rPr>
        <w:t xml:space="preserve">a.     A current </w:t>
      </w:r>
      <w:proofErr w:type="spellStart"/>
      <w:r w:rsidRPr="00C730D3">
        <w:rPr>
          <w:rFonts w:asciiTheme="minorHAnsi" w:hAnsiTheme="minorHAnsi"/>
          <w:i/>
          <w:iCs/>
        </w:rPr>
        <w:t>practising</w:t>
      </w:r>
      <w:proofErr w:type="spellEnd"/>
      <w:r w:rsidRPr="00C730D3">
        <w:rPr>
          <w:rFonts w:asciiTheme="minorHAnsi" w:hAnsiTheme="minorHAnsi"/>
          <w:i/>
          <w:iCs/>
        </w:rPr>
        <w:t xml:space="preserve"> certificate accompanied by picture identification;</w:t>
      </w:r>
    </w:p>
    <w:p w14:paraId="65C67D53" w14:textId="542A32A0" w:rsidR="00304B8E" w:rsidRPr="00C730D3" w:rsidRDefault="00304B8E" w:rsidP="001E15E5">
      <w:pPr>
        <w:spacing w:before="100" w:beforeAutospacing="1" w:after="100" w:afterAutospacing="1" w:line="276" w:lineRule="auto"/>
        <w:rPr>
          <w:rFonts w:asciiTheme="minorHAnsi" w:hAnsiTheme="minorHAnsi"/>
        </w:rPr>
      </w:pPr>
      <w:r w:rsidRPr="00C730D3">
        <w:rPr>
          <w:rFonts w:asciiTheme="minorHAnsi" w:hAnsiTheme="minorHAnsi"/>
          <w:i/>
          <w:iCs/>
        </w:rPr>
        <w:t>b.     Confirmation on headed notepaper from the relevant Higher Education Institution of the lawyer's position</w:t>
      </w:r>
      <w:r w:rsidR="000238D1" w:rsidRPr="00C730D3">
        <w:rPr>
          <w:rFonts w:asciiTheme="minorHAnsi" w:hAnsiTheme="minorHAnsi"/>
          <w:i/>
          <w:iCs/>
        </w:rPr>
        <w:t xml:space="preserve"> and qualification</w:t>
      </w:r>
      <w:r w:rsidRPr="00C730D3">
        <w:rPr>
          <w:rFonts w:asciiTheme="minorHAnsi" w:hAnsiTheme="minorHAnsi"/>
          <w:i/>
          <w:iCs/>
        </w:rPr>
        <w:t>, accompanied by picture identification;</w:t>
      </w:r>
    </w:p>
    <w:p w14:paraId="0AC2C31B" w14:textId="3CEF3707" w:rsidR="00304B8E" w:rsidRPr="00C730D3" w:rsidRDefault="00304B8E" w:rsidP="001E15E5">
      <w:pPr>
        <w:spacing w:before="100" w:beforeAutospacing="1" w:afterAutospacing="1" w:line="276" w:lineRule="auto"/>
        <w:rPr>
          <w:rFonts w:asciiTheme="minorHAnsi" w:hAnsiTheme="minorHAnsi"/>
        </w:rPr>
      </w:pPr>
      <w:r w:rsidRPr="00C730D3">
        <w:rPr>
          <w:rFonts w:asciiTheme="minorHAnsi" w:hAnsiTheme="minorHAnsi"/>
          <w:i/>
          <w:iCs/>
        </w:rPr>
        <w:t>c.     Confirmation on headed notepaper from the relevant educational charity of the lawyer's position</w:t>
      </w:r>
      <w:r w:rsidR="000238D1" w:rsidRPr="00C730D3">
        <w:rPr>
          <w:rFonts w:asciiTheme="minorHAnsi" w:hAnsiTheme="minorHAnsi"/>
          <w:i/>
          <w:iCs/>
        </w:rPr>
        <w:t xml:space="preserve"> and qualification</w:t>
      </w:r>
      <w:r w:rsidRPr="00C730D3">
        <w:rPr>
          <w:rFonts w:asciiTheme="minorHAnsi" w:hAnsiTheme="minorHAnsi"/>
          <w:i/>
          <w:iCs/>
        </w:rPr>
        <w:t>, accompanied by picture identification.</w:t>
      </w:r>
    </w:p>
    <w:p w14:paraId="04FB43BB" w14:textId="77777777" w:rsidR="00304B8E" w:rsidRPr="00C730D3" w:rsidRDefault="00304B8E" w:rsidP="001E15E5">
      <w:pPr>
        <w:spacing w:line="276" w:lineRule="auto"/>
        <w:rPr>
          <w:rFonts w:asciiTheme="minorHAnsi" w:hAnsiTheme="minorHAnsi"/>
        </w:rPr>
      </w:pPr>
      <w:bookmarkStart w:id="0" w:name="_GoBack"/>
      <w:bookmarkEnd w:id="0"/>
    </w:p>
    <w:sectPr w:rsidR="00304B8E" w:rsidRPr="00C730D3" w:rsidSect="00743D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C8A6" w14:textId="77777777" w:rsidR="00EF1A71" w:rsidRDefault="00EF1A71" w:rsidP="00F116B1">
      <w:r>
        <w:separator/>
      </w:r>
    </w:p>
  </w:endnote>
  <w:endnote w:type="continuationSeparator" w:id="0">
    <w:p w14:paraId="322F0CE6" w14:textId="77777777" w:rsidR="00EF1A71" w:rsidRDefault="00EF1A71" w:rsidP="00F116B1">
      <w:r>
        <w:continuationSeparator/>
      </w:r>
    </w:p>
  </w:endnote>
  <w:endnote w:type="continuationNotice" w:id="1">
    <w:p w14:paraId="1541CE58" w14:textId="77777777" w:rsidR="00EF1A71" w:rsidRDefault="00EF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9C32" w14:textId="77777777" w:rsidR="00C730D3" w:rsidRDefault="00C730D3" w:rsidP="00C730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ECB4" w14:textId="77777777" w:rsidR="00C730D3" w:rsidRDefault="00C730D3" w:rsidP="00C73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52D6" w14:textId="77777777" w:rsidR="00C730D3" w:rsidRDefault="00C730D3" w:rsidP="00C730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A25">
      <w:rPr>
        <w:rStyle w:val="PageNumber"/>
        <w:noProof/>
      </w:rPr>
      <w:t>9</w:t>
    </w:r>
    <w:r>
      <w:rPr>
        <w:rStyle w:val="PageNumber"/>
      </w:rPr>
      <w:fldChar w:fldCharType="end"/>
    </w:r>
  </w:p>
  <w:p w14:paraId="57982048" w14:textId="77777777" w:rsidR="00C730D3" w:rsidRDefault="00C730D3" w:rsidP="00C730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998F" w14:textId="77777777" w:rsidR="00EF1A71" w:rsidRDefault="00EF1A71" w:rsidP="00F116B1">
      <w:r>
        <w:separator/>
      </w:r>
    </w:p>
  </w:footnote>
  <w:footnote w:type="continuationSeparator" w:id="0">
    <w:p w14:paraId="3D3BF060" w14:textId="77777777" w:rsidR="00EF1A71" w:rsidRDefault="00EF1A71" w:rsidP="00F116B1">
      <w:r>
        <w:continuationSeparator/>
      </w:r>
    </w:p>
  </w:footnote>
  <w:footnote w:type="continuationNotice" w:id="1">
    <w:p w14:paraId="638216A9" w14:textId="77777777" w:rsidR="00EF1A71" w:rsidRDefault="00EF1A71"/>
  </w:footnote>
  <w:footnote w:id="2">
    <w:p w14:paraId="0382111B" w14:textId="6852FB0D" w:rsidR="006E6044" w:rsidRPr="006B5B9B" w:rsidRDefault="006E6044" w:rsidP="006B5B9B">
      <w:pPr>
        <w:rPr>
          <w:rFonts w:asciiTheme="minorHAnsi" w:eastAsia="Times New Roman" w:hAnsiTheme="minorHAnsi"/>
          <w:sz w:val="20"/>
          <w:szCs w:val="20"/>
        </w:rPr>
      </w:pPr>
      <w:r>
        <w:rPr>
          <w:rStyle w:val="FootnoteReference"/>
        </w:rPr>
        <w:footnoteRef/>
      </w:r>
      <w:r>
        <w:t xml:space="preserve"> </w:t>
      </w:r>
      <w:r w:rsidR="001F09C6" w:rsidRPr="006B5B9B">
        <w:rPr>
          <w:rFonts w:asciiTheme="minorHAnsi" w:hAnsiTheme="minorHAnsi"/>
          <w:sz w:val="20"/>
          <w:szCs w:val="20"/>
        </w:rPr>
        <w:t>E.g.</w:t>
      </w:r>
      <w:r w:rsidR="00C129D5">
        <w:rPr>
          <w:rFonts w:asciiTheme="minorHAnsi" w:hAnsiTheme="minorHAnsi"/>
          <w:sz w:val="20"/>
          <w:szCs w:val="20"/>
        </w:rPr>
        <w:t xml:space="preserve"> </w:t>
      </w:r>
      <w:r w:rsidR="00C129D5" w:rsidRPr="001E15E5">
        <w:rPr>
          <w:rFonts w:asciiTheme="minorHAnsi" w:eastAsia="Times New Roman" w:hAnsiTheme="minorHAnsi"/>
          <w:i/>
          <w:color w:val="000000"/>
          <w:sz w:val="20"/>
          <w:szCs w:val="20"/>
        </w:rPr>
        <w:t xml:space="preserve">P (A Child) </w:t>
      </w:r>
      <w:r w:rsidR="00C129D5" w:rsidRPr="006B5B9B">
        <w:rPr>
          <w:rFonts w:asciiTheme="minorHAnsi" w:eastAsia="Times New Roman" w:hAnsiTheme="minorHAnsi"/>
          <w:color w:val="000000"/>
          <w:sz w:val="20"/>
          <w:szCs w:val="20"/>
        </w:rPr>
        <w:t>[2013] EWHC 4048 (Fam)</w:t>
      </w:r>
      <w:r w:rsidR="00C129D5">
        <w:rPr>
          <w:rFonts w:asciiTheme="minorHAnsi" w:eastAsia="Times New Roman" w:hAnsiTheme="minorHAnsi"/>
          <w:color w:val="000000"/>
          <w:sz w:val="20"/>
          <w:szCs w:val="20"/>
        </w:rPr>
        <w:t xml:space="preserve"> (but other examples can be provided).</w:t>
      </w:r>
    </w:p>
  </w:footnote>
  <w:footnote w:id="3">
    <w:p w14:paraId="3C04EB53" w14:textId="2519B927" w:rsidR="00713DF8" w:rsidRPr="00C129D5" w:rsidRDefault="00713DF8">
      <w:pPr>
        <w:pStyle w:val="FootnoteText"/>
        <w:rPr>
          <w:lang w:val="en-GB"/>
        </w:rPr>
      </w:pPr>
      <w:r>
        <w:rPr>
          <w:rStyle w:val="FootnoteReference"/>
        </w:rPr>
        <w:footnoteRef/>
      </w:r>
      <w:r>
        <w:t xml:space="preserve"> </w:t>
      </w:r>
      <w:r>
        <w:rPr>
          <w:lang w:val="en-GB"/>
        </w:rPr>
        <w:t xml:space="preserve">For example, in </w:t>
      </w:r>
      <w:r w:rsidRPr="001E15E5">
        <w:rPr>
          <w:rFonts w:eastAsia="Times New Roman"/>
          <w:i/>
          <w:color w:val="000000"/>
        </w:rPr>
        <w:t xml:space="preserve">AB Ltd &amp; </w:t>
      </w:r>
      <w:proofErr w:type="spellStart"/>
      <w:r w:rsidRPr="001E15E5">
        <w:rPr>
          <w:rFonts w:eastAsia="Times New Roman"/>
          <w:i/>
          <w:color w:val="000000"/>
        </w:rPr>
        <w:t>Ors</w:t>
      </w:r>
      <w:proofErr w:type="spellEnd"/>
      <w:r w:rsidRPr="001E15E5">
        <w:rPr>
          <w:rFonts w:eastAsia="Times New Roman"/>
          <w:i/>
          <w:color w:val="000000"/>
        </w:rPr>
        <w:t xml:space="preserve"> v Facebook Ireland Ltd</w:t>
      </w:r>
      <w:r w:rsidRPr="006B5B9B">
        <w:rPr>
          <w:rFonts w:eastAsia="Times New Roman"/>
          <w:color w:val="000000"/>
        </w:rPr>
        <w:t xml:space="preserve"> [2013] NIQB 14 (6 February 2013</w:t>
      </w:r>
      <w:r>
        <w:rPr>
          <w:rFonts w:eastAsia="Times New Roman"/>
          <w:color w:val="000000"/>
        </w:rPr>
        <w:t>) [13]</w:t>
      </w:r>
      <w:r w:rsidR="00D31C5C">
        <w:rPr>
          <w:rFonts w:eastAsia="Times New Roman"/>
          <w:color w:val="000000"/>
        </w:rPr>
        <w:t xml:space="preserve">, </w:t>
      </w:r>
      <w:r w:rsidR="00D31C5C" w:rsidRPr="001E15E5">
        <w:rPr>
          <w:i/>
        </w:rPr>
        <w:t xml:space="preserve">Re </w:t>
      </w:r>
      <w:r w:rsidR="00D31C5C" w:rsidRPr="001E15E5">
        <w:rPr>
          <w:rFonts w:eastAsia="Times New Roman"/>
          <w:i/>
          <w:color w:val="000000"/>
        </w:rPr>
        <w:t>B (A Child)</w:t>
      </w:r>
      <w:r w:rsidR="00C129D5">
        <w:rPr>
          <w:rFonts w:eastAsia="Times New Roman"/>
          <w:color w:val="000000"/>
        </w:rPr>
        <w:t xml:space="preserve"> </w:t>
      </w:r>
      <w:r w:rsidR="00D31C5C" w:rsidRPr="006B5B9B">
        <w:rPr>
          <w:rFonts w:eastAsia="Times New Roman"/>
          <w:color w:val="000000"/>
        </w:rPr>
        <w:t xml:space="preserve">[2017] EWCA </w:t>
      </w:r>
      <w:proofErr w:type="spellStart"/>
      <w:r w:rsidR="00D31C5C" w:rsidRPr="006B5B9B">
        <w:rPr>
          <w:rFonts w:eastAsia="Times New Roman"/>
          <w:color w:val="000000"/>
        </w:rPr>
        <w:t>Civ</w:t>
      </w:r>
      <w:proofErr w:type="spellEnd"/>
      <w:r w:rsidR="00D31C5C" w:rsidRPr="006B5B9B">
        <w:rPr>
          <w:rFonts w:eastAsia="Times New Roman"/>
          <w:color w:val="000000"/>
        </w:rPr>
        <w:t xml:space="preserve"> 1579, </w:t>
      </w:r>
      <w:r w:rsidR="00D31C5C" w:rsidRPr="001E15E5">
        <w:rPr>
          <w:rFonts w:eastAsia="Times New Roman"/>
          <w:i/>
          <w:color w:val="000000"/>
        </w:rPr>
        <w:t>P (A Child)</w:t>
      </w:r>
      <w:r w:rsidR="00D31C5C" w:rsidRPr="006B5B9B">
        <w:rPr>
          <w:rFonts w:eastAsia="Times New Roman"/>
          <w:color w:val="000000"/>
        </w:rPr>
        <w:t xml:space="preserve"> [2013] EWHC 4048 (Fam), </w:t>
      </w:r>
      <w:r w:rsidR="00D31C5C" w:rsidRPr="001E15E5">
        <w:rPr>
          <w:rFonts w:eastAsia="Times New Roman"/>
          <w:i/>
          <w:color w:val="000000"/>
        </w:rPr>
        <w:t>R v Miller &amp; Anor (on the application of) v Secretary of State for Exiting the European Union (Rev 3)</w:t>
      </w:r>
      <w:r w:rsidR="00D31C5C" w:rsidRPr="006B5B9B">
        <w:rPr>
          <w:rFonts w:eastAsia="Times New Roman"/>
          <w:color w:val="000000"/>
        </w:rPr>
        <w:t xml:space="preserve"> [2017] UKSC 5 (24 January 2017)</w:t>
      </w:r>
      <w:r>
        <w:rPr>
          <w:rFonts w:eastAsia="Times New Roman"/>
          <w:color w:val="000000"/>
        </w:rPr>
        <w:t>.</w:t>
      </w:r>
    </w:p>
  </w:footnote>
  <w:footnote w:id="4">
    <w:p w14:paraId="2EE806DF" w14:textId="495704A3" w:rsidR="006E6044" w:rsidRPr="00F7425E" w:rsidRDefault="006E6044" w:rsidP="00F7425E">
      <w:pPr>
        <w:pStyle w:val="FootnoteText"/>
        <w:rPr>
          <w:rStyle w:val="Strong"/>
          <w:b w:val="0"/>
        </w:rPr>
      </w:pPr>
      <w:r>
        <w:rPr>
          <w:rStyle w:val="FootnoteReference"/>
        </w:rPr>
        <w:footnoteRef/>
      </w:r>
      <w:r>
        <w:t xml:space="preserve"> </w:t>
      </w:r>
      <w:r w:rsidRPr="00F7425E">
        <w:rPr>
          <w:rStyle w:val="Strong"/>
          <w:b w:val="0"/>
        </w:rPr>
        <w:t>CPD</w:t>
      </w:r>
      <w:r>
        <w:rPr>
          <w:rStyle w:val="Strong"/>
          <w:b w:val="0"/>
        </w:rPr>
        <w:t xml:space="preserve"> </w:t>
      </w:r>
      <w:r w:rsidRPr="00F7425E">
        <w:rPr>
          <w:rStyle w:val="Strong"/>
          <w:b w:val="0"/>
        </w:rPr>
        <w:t>I</w:t>
      </w:r>
      <w:r>
        <w:rPr>
          <w:rStyle w:val="Strong"/>
          <w:b w:val="0"/>
        </w:rPr>
        <w:t xml:space="preserve"> General </w:t>
      </w:r>
      <w:r w:rsidRPr="00F7425E">
        <w:rPr>
          <w:rStyle w:val="Strong"/>
          <w:b w:val="0"/>
        </w:rPr>
        <w:t>matters</w:t>
      </w:r>
      <w:r>
        <w:rPr>
          <w:rStyle w:val="Strong"/>
          <w:b w:val="0"/>
        </w:rPr>
        <w:t xml:space="preserve"> </w:t>
      </w:r>
      <w:r w:rsidRPr="00F7425E">
        <w:rPr>
          <w:rStyle w:val="Strong"/>
          <w:b w:val="0"/>
        </w:rPr>
        <w:t>6C:</w:t>
      </w:r>
      <w:r>
        <w:rPr>
          <w:rStyle w:val="Strong"/>
          <w:b w:val="0"/>
        </w:rPr>
        <w:t xml:space="preserve"> U</w:t>
      </w:r>
      <w:r w:rsidRPr="00F7425E">
        <w:rPr>
          <w:rStyle w:val="Strong"/>
          <w:b w:val="0"/>
        </w:rPr>
        <w:t>se of live text‐based forms of communication (including Twitter) from court for the purposes of fair and accurate reporting</w:t>
      </w:r>
    </w:p>
  </w:footnote>
  <w:footnote w:id="5">
    <w:p w14:paraId="6E270717" w14:textId="22639DA1" w:rsidR="006E6044" w:rsidRPr="003B0702" w:rsidRDefault="006E6044">
      <w:pPr>
        <w:pStyle w:val="FootnoteText"/>
        <w:rPr>
          <w:lang w:val="en-GB"/>
        </w:rPr>
      </w:pPr>
      <w:r>
        <w:rPr>
          <w:rStyle w:val="FootnoteReference"/>
        </w:rPr>
        <w:footnoteRef/>
      </w:r>
      <w:r>
        <w:t xml:space="preserve"> </w:t>
      </w:r>
      <w:r>
        <w:rPr>
          <w:lang w:val="en-GB"/>
        </w:rPr>
        <w:t xml:space="preserve">Evidence can be provided on both these points, if required.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A6A"/>
    <w:multiLevelType w:val="hybridMultilevel"/>
    <w:tmpl w:val="B204E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1F5E"/>
    <w:multiLevelType w:val="hybridMultilevel"/>
    <w:tmpl w:val="0DF25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636B5"/>
    <w:multiLevelType w:val="hybridMultilevel"/>
    <w:tmpl w:val="E6B07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056A38"/>
    <w:multiLevelType w:val="multilevel"/>
    <w:tmpl w:val="7D5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B83E54"/>
    <w:multiLevelType w:val="hybridMultilevel"/>
    <w:tmpl w:val="B68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C2961"/>
    <w:multiLevelType w:val="hybridMultilevel"/>
    <w:tmpl w:val="B204E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F5808"/>
    <w:multiLevelType w:val="hybridMultilevel"/>
    <w:tmpl w:val="0170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B6"/>
    <w:rsid w:val="00003F01"/>
    <w:rsid w:val="000238D1"/>
    <w:rsid w:val="000636A2"/>
    <w:rsid w:val="00067760"/>
    <w:rsid w:val="00094D15"/>
    <w:rsid w:val="000C5872"/>
    <w:rsid w:val="000F74A9"/>
    <w:rsid w:val="0018291D"/>
    <w:rsid w:val="001E15E5"/>
    <w:rsid w:val="001F09C6"/>
    <w:rsid w:val="00216EB5"/>
    <w:rsid w:val="00272CB6"/>
    <w:rsid w:val="00276D3D"/>
    <w:rsid w:val="002C6375"/>
    <w:rsid w:val="002F7FF6"/>
    <w:rsid w:val="00304B8E"/>
    <w:rsid w:val="0031381D"/>
    <w:rsid w:val="003B0702"/>
    <w:rsid w:val="004238A9"/>
    <w:rsid w:val="0043596C"/>
    <w:rsid w:val="00473847"/>
    <w:rsid w:val="004813A4"/>
    <w:rsid w:val="00492279"/>
    <w:rsid w:val="00495ECF"/>
    <w:rsid w:val="0054285E"/>
    <w:rsid w:val="00580862"/>
    <w:rsid w:val="005D51CC"/>
    <w:rsid w:val="006B5B9B"/>
    <w:rsid w:val="006D30A0"/>
    <w:rsid w:val="006D5368"/>
    <w:rsid w:val="006E3130"/>
    <w:rsid w:val="006E6044"/>
    <w:rsid w:val="00713DF8"/>
    <w:rsid w:val="00743DDA"/>
    <w:rsid w:val="00760463"/>
    <w:rsid w:val="00770DEA"/>
    <w:rsid w:val="00777077"/>
    <w:rsid w:val="00785B68"/>
    <w:rsid w:val="00793FF8"/>
    <w:rsid w:val="00804256"/>
    <w:rsid w:val="00842EC4"/>
    <w:rsid w:val="009129F6"/>
    <w:rsid w:val="00920638"/>
    <w:rsid w:val="009428B6"/>
    <w:rsid w:val="009471D0"/>
    <w:rsid w:val="00950A98"/>
    <w:rsid w:val="009739DE"/>
    <w:rsid w:val="00975A1C"/>
    <w:rsid w:val="009A2FF5"/>
    <w:rsid w:val="009B3EF6"/>
    <w:rsid w:val="00A306C6"/>
    <w:rsid w:val="00A44837"/>
    <w:rsid w:val="00A61057"/>
    <w:rsid w:val="00A733B3"/>
    <w:rsid w:val="00A9302B"/>
    <w:rsid w:val="00AC2B23"/>
    <w:rsid w:val="00AE3370"/>
    <w:rsid w:val="00AF385E"/>
    <w:rsid w:val="00B001CC"/>
    <w:rsid w:val="00B41947"/>
    <w:rsid w:val="00B41A72"/>
    <w:rsid w:val="00B56C53"/>
    <w:rsid w:val="00BB1A25"/>
    <w:rsid w:val="00BC1577"/>
    <w:rsid w:val="00BE0C9F"/>
    <w:rsid w:val="00C129D5"/>
    <w:rsid w:val="00C358A1"/>
    <w:rsid w:val="00C66EC6"/>
    <w:rsid w:val="00C730D3"/>
    <w:rsid w:val="00C92A7E"/>
    <w:rsid w:val="00CF069E"/>
    <w:rsid w:val="00CF2AEC"/>
    <w:rsid w:val="00CF3BCF"/>
    <w:rsid w:val="00D26646"/>
    <w:rsid w:val="00D31C5C"/>
    <w:rsid w:val="00D62612"/>
    <w:rsid w:val="00D7247F"/>
    <w:rsid w:val="00D76E55"/>
    <w:rsid w:val="00D96581"/>
    <w:rsid w:val="00DA00EF"/>
    <w:rsid w:val="00DA1B89"/>
    <w:rsid w:val="00DB40C0"/>
    <w:rsid w:val="00DB7422"/>
    <w:rsid w:val="00DC04A5"/>
    <w:rsid w:val="00E00016"/>
    <w:rsid w:val="00E37BD0"/>
    <w:rsid w:val="00E4021F"/>
    <w:rsid w:val="00EF1A71"/>
    <w:rsid w:val="00F116B1"/>
    <w:rsid w:val="00F7425E"/>
    <w:rsid w:val="00F86D01"/>
    <w:rsid w:val="00FB5CF6"/>
    <w:rsid w:val="00FF79BB"/>
    <w:rsid w:val="1F95C7F0"/>
    <w:rsid w:val="200F6CBC"/>
    <w:rsid w:val="237AE2A5"/>
    <w:rsid w:val="2E8DE46D"/>
    <w:rsid w:val="42F97416"/>
    <w:rsid w:val="489F58BF"/>
    <w:rsid w:val="4E3AF7CD"/>
    <w:rsid w:val="4F65CEA3"/>
    <w:rsid w:val="55B056E1"/>
    <w:rsid w:val="687A77CE"/>
    <w:rsid w:val="7215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D0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D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B6"/>
    <w:pPr>
      <w:ind w:left="720"/>
      <w:contextualSpacing/>
    </w:pPr>
    <w:rPr>
      <w:rFonts w:asciiTheme="minorHAnsi" w:hAnsiTheme="minorHAnsi" w:cstheme="minorBidi"/>
    </w:rPr>
  </w:style>
  <w:style w:type="paragraph" w:styleId="NormalWeb">
    <w:name w:val="Normal (Web)"/>
    <w:basedOn w:val="Normal"/>
    <w:uiPriority w:val="99"/>
    <w:semiHidden/>
    <w:unhideWhenUsed/>
    <w:rsid w:val="00920638"/>
    <w:pPr>
      <w:spacing w:before="100" w:beforeAutospacing="1" w:after="100" w:afterAutospacing="1"/>
    </w:pPr>
  </w:style>
  <w:style w:type="character" w:styleId="Strong">
    <w:name w:val="Strong"/>
    <w:basedOn w:val="DefaultParagraphFont"/>
    <w:uiPriority w:val="22"/>
    <w:qFormat/>
    <w:rsid w:val="00920638"/>
    <w:rPr>
      <w:b/>
      <w:bCs/>
    </w:rPr>
  </w:style>
  <w:style w:type="character" w:customStyle="1" w:styleId="apple-converted-space">
    <w:name w:val="apple-converted-space"/>
    <w:basedOn w:val="DefaultParagraphFont"/>
    <w:rsid w:val="00920638"/>
  </w:style>
  <w:style w:type="character" w:customStyle="1" w:styleId="glossary">
    <w:name w:val="glossary"/>
    <w:basedOn w:val="DefaultParagraphFont"/>
    <w:rsid w:val="00920638"/>
  </w:style>
  <w:style w:type="character" w:styleId="Hyperlink">
    <w:name w:val="Hyperlink"/>
    <w:basedOn w:val="DefaultParagraphFont"/>
    <w:uiPriority w:val="99"/>
    <w:unhideWhenUsed/>
    <w:rsid w:val="00D96581"/>
    <w:rPr>
      <w:color w:val="0563C1" w:themeColor="hyperlink"/>
      <w:u w:val="single"/>
    </w:rPr>
  </w:style>
  <w:style w:type="paragraph" w:styleId="FootnoteText">
    <w:name w:val="footnote text"/>
    <w:basedOn w:val="Normal"/>
    <w:link w:val="FootnoteTextChar"/>
    <w:uiPriority w:val="99"/>
    <w:unhideWhenUsed/>
    <w:rsid w:val="00F116B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116B1"/>
    <w:rPr>
      <w:sz w:val="20"/>
      <w:szCs w:val="20"/>
    </w:rPr>
  </w:style>
  <w:style w:type="character" w:styleId="FootnoteReference">
    <w:name w:val="footnote reference"/>
    <w:basedOn w:val="DefaultParagraphFont"/>
    <w:uiPriority w:val="99"/>
    <w:unhideWhenUsed/>
    <w:rsid w:val="00F116B1"/>
    <w:rPr>
      <w:vertAlign w:val="superscript"/>
    </w:rPr>
  </w:style>
  <w:style w:type="character" w:styleId="Emphasis">
    <w:name w:val="Emphasis"/>
    <w:basedOn w:val="DefaultParagraphFont"/>
    <w:uiPriority w:val="20"/>
    <w:qFormat/>
    <w:rsid w:val="00F116B1"/>
    <w:rPr>
      <w:i/>
      <w:iCs/>
    </w:rPr>
  </w:style>
  <w:style w:type="paragraph" w:styleId="BalloonText">
    <w:name w:val="Balloon Text"/>
    <w:basedOn w:val="Normal"/>
    <w:link w:val="BalloonTextChar"/>
    <w:uiPriority w:val="99"/>
    <w:semiHidden/>
    <w:unhideWhenUsed/>
    <w:rsid w:val="00F1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1"/>
    <w:rPr>
      <w:rFonts w:ascii="Segoe UI" w:hAnsi="Segoe UI" w:cs="Segoe UI"/>
      <w:sz w:val="18"/>
      <w:szCs w:val="18"/>
    </w:rPr>
  </w:style>
  <w:style w:type="character" w:styleId="CommentReference">
    <w:name w:val="annotation reference"/>
    <w:basedOn w:val="DefaultParagraphFont"/>
    <w:uiPriority w:val="99"/>
    <w:semiHidden/>
    <w:unhideWhenUsed/>
    <w:rsid w:val="004238A9"/>
    <w:rPr>
      <w:sz w:val="18"/>
      <w:szCs w:val="18"/>
    </w:rPr>
  </w:style>
  <w:style w:type="paragraph" w:styleId="CommentText">
    <w:name w:val="annotation text"/>
    <w:basedOn w:val="Normal"/>
    <w:link w:val="CommentTextChar"/>
    <w:uiPriority w:val="99"/>
    <w:semiHidden/>
    <w:unhideWhenUsed/>
    <w:rsid w:val="004238A9"/>
    <w:rPr>
      <w:rFonts w:asciiTheme="minorHAnsi" w:hAnsiTheme="minorHAnsi" w:cstheme="minorBidi"/>
    </w:rPr>
  </w:style>
  <w:style w:type="character" w:customStyle="1" w:styleId="CommentTextChar">
    <w:name w:val="Comment Text Char"/>
    <w:basedOn w:val="DefaultParagraphFont"/>
    <w:link w:val="CommentText"/>
    <w:uiPriority w:val="99"/>
    <w:semiHidden/>
    <w:rsid w:val="004238A9"/>
  </w:style>
  <w:style w:type="paragraph" w:styleId="CommentSubject">
    <w:name w:val="annotation subject"/>
    <w:basedOn w:val="CommentText"/>
    <w:next w:val="CommentText"/>
    <w:link w:val="CommentSubjectChar"/>
    <w:uiPriority w:val="99"/>
    <w:semiHidden/>
    <w:unhideWhenUsed/>
    <w:rsid w:val="004238A9"/>
    <w:rPr>
      <w:b/>
      <w:bCs/>
      <w:sz w:val="20"/>
      <w:szCs w:val="20"/>
    </w:rPr>
  </w:style>
  <w:style w:type="character" w:customStyle="1" w:styleId="CommentSubjectChar">
    <w:name w:val="Comment Subject Char"/>
    <w:basedOn w:val="CommentTextChar"/>
    <w:link w:val="CommentSubject"/>
    <w:uiPriority w:val="99"/>
    <w:semiHidden/>
    <w:rsid w:val="004238A9"/>
    <w:rPr>
      <w:b/>
      <w:bCs/>
      <w:sz w:val="20"/>
      <w:szCs w:val="20"/>
    </w:rPr>
  </w:style>
  <w:style w:type="paragraph" w:styleId="Header">
    <w:name w:val="header"/>
    <w:basedOn w:val="Normal"/>
    <w:link w:val="HeaderChar"/>
    <w:uiPriority w:val="99"/>
    <w:semiHidden/>
    <w:unhideWhenUsed/>
    <w:rsid w:val="005D51C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emiHidden/>
    <w:rsid w:val="005D51CC"/>
  </w:style>
  <w:style w:type="paragraph" w:styleId="Footer">
    <w:name w:val="footer"/>
    <w:basedOn w:val="Normal"/>
    <w:link w:val="FooterChar"/>
    <w:uiPriority w:val="99"/>
    <w:unhideWhenUsed/>
    <w:rsid w:val="005D51C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D51CC"/>
  </w:style>
  <w:style w:type="paragraph" w:styleId="Revision">
    <w:name w:val="Revision"/>
    <w:hidden/>
    <w:uiPriority w:val="99"/>
    <w:semiHidden/>
    <w:rsid w:val="000238D1"/>
  </w:style>
  <w:style w:type="character" w:styleId="PageNumber">
    <w:name w:val="page number"/>
    <w:basedOn w:val="DefaultParagraphFont"/>
    <w:uiPriority w:val="99"/>
    <w:semiHidden/>
    <w:unhideWhenUsed/>
    <w:rsid w:val="00C7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425">
      <w:bodyDiv w:val="1"/>
      <w:marLeft w:val="0"/>
      <w:marRight w:val="0"/>
      <w:marTop w:val="0"/>
      <w:marBottom w:val="0"/>
      <w:divBdr>
        <w:top w:val="none" w:sz="0" w:space="0" w:color="auto"/>
        <w:left w:val="none" w:sz="0" w:space="0" w:color="auto"/>
        <w:bottom w:val="none" w:sz="0" w:space="0" w:color="auto"/>
        <w:right w:val="none" w:sz="0" w:space="0" w:color="auto"/>
      </w:divBdr>
    </w:div>
    <w:div w:id="178474615">
      <w:bodyDiv w:val="1"/>
      <w:marLeft w:val="0"/>
      <w:marRight w:val="0"/>
      <w:marTop w:val="0"/>
      <w:marBottom w:val="0"/>
      <w:divBdr>
        <w:top w:val="none" w:sz="0" w:space="0" w:color="auto"/>
        <w:left w:val="none" w:sz="0" w:space="0" w:color="auto"/>
        <w:bottom w:val="none" w:sz="0" w:space="0" w:color="auto"/>
        <w:right w:val="none" w:sz="0" w:space="0" w:color="auto"/>
      </w:divBdr>
    </w:div>
    <w:div w:id="1869876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84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50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64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595884">
      <w:bodyDiv w:val="1"/>
      <w:marLeft w:val="0"/>
      <w:marRight w:val="0"/>
      <w:marTop w:val="0"/>
      <w:marBottom w:val="0"/>
      <w:divBdr>
        <w:top w:val="none" w:sz="0" w:space="0" w:color="auto"/>
        <w:left w:val="none" w:sz="0" w:space="0" w:color="auto"/>
        <w:bottom w:val="none" w:sz="0" w:space="0" w:color="auto"/>
        <w:right w:val="none" w:sz="0" w:space="0" w:color="auto"/>
      </w:divBdr>
    </w:div>
    <w:div w:id="449708213">
      <w:bodyDiv w:val="1"/>
      <w:marLeft w:val="0"/>
      <w:marRight w:val="0"/>
      <w:marTop w:val="0"/>
      <w:marBottom w:val="0"/>
      <w:divBdr>
        <w:top w:val="none" w:sz="0" w:space="0" w:color="auto"/>
        <w:left w:val="none" w:sz="0" w:space="0" w:color="auto"/>
        <w:bottom w:val="none" w:sz="0" w:space="0" w:color="auto"/>
        <w:right w:val="none" w:sz="0" w:space="0" w:color="auto"/>
      </w:divBdr>
      <w:divsChild>
        <w:div w:id="1264221614">
          <w:marLeft w:val="-480"/>
          <w:marRight w:val="0"/>
          <w:marTop w:val="0"/>
          <w:marBottom w:val="0"/>
          <w:divBdr>
            <w:top w:val="none" w:sz="0" w:space="0" w:color="auto"/>
            <w:left w:val="none" w:sz="0" w:space="0" w:color="auto"/>
            <w:bottom w:val="none" w:sz="0" w:space="0" w:color="auto"/>
            <w:right w:val="none" w:sz="0" w:space="0" w:color="auto"/>
          </w:divBdr>
          <w:divsChild>
            <w:div w:id="1153569895">
              <w:marLeft w:val="0"/>
              <w:marRight w:val="0"/>
              <w:marTop w:val="0"/>
              <w:marBottom w:val="0"/>
              <w:divBdr>
                <w:top w:val="none" w:sz="0" w:space="0" w:color="auto"/>
                <w:left w:val="none" w:sz="0" w:space="0" w:color="auto"/>
                <w:bottom w:val="none" w:sz="0" w:space="0" w:color="auto"/>
                <w:right w:val="none" w:sz="0" w:space="0" w:color="auto"/>
              </w:divBdr>
            </w:div>
          </w:divsChild>
        </w:div>
        <w:div w:id="1965381975">
          <w:marLeft w:val="-480"/>
          <w:marRight w:val="0"/>
          <w:marTop w:val="0"/>
          <w:marBottom w:val="0"/>
          <w:divBdr>
            <w:top w:val="none" w:sz="0" w:space="0" w:color="auto"/>
            <w:left w:val="none" w:sz="0" w:space="0" w:color="auto"/>
            <w:bottom w:val="none" w:sz="0" w:space="0" w:color="auto"/>
            <w:right w:val="none" w:sz="0" w:space="0" w:color="auto"/>
          </w:divBdr>
          <w:divsChild>
            <w:div w:id="1005060578">
              <w:marLeft w:val="465"/>
              <w:marRight w:val="0"/>
              <w:marTop w:val="0"/>
              <w:marBottom w:val="45"/>
              <w:divBdr>
                <w:top w:val="none" w:sz="0" w:space="0" w:color="auto"/>
                <w:left w:val="none" w:sz="0" w:space="0" w:color="auto"/>
                <w:bottom w:val="none" w:sz="0" w:space="0" w:color="auto"/>
                <w:right w:val="none" w:sz="0" w:space="0" w:color="auto"/>
              </w:divBdr>
            </w:div>
            <w:div w:id="951013928">
              <w:marLeft w:val="0"/>
              <w:marRight w:val="0"/>
              <w:marTop w:val="0"/>
              <w:marBottom w:val="0"/>
              <w:divBdr>
                <w:top w:val="none" w:sz="0" w:space="0" w:color="auto"/>
                <w:left w:val="none" w:sz="0" w:space="0" w:color="auto"/>
                <w:bottom w:val="none" w:sz="0" w:space="0" w:color="auto"/>
                <w:right w:val="none" w:sz="0" w:space="0" w:color="auto"/>
              </w:divBdr>
            </w:div>
          </w:divsChild>
        </w:div>
        <w:div w:id="1435393776">
          <w:marLeft w:val="-480"/>
          <w:marRight w:val="0"/>
          <w:marTop w:val="0"/>
          <w:marBottom w:val="0"/>
          <w:divBdr>
            <w:top w:val="none" w:sz="0" w:space="0" w:color="auto"/>
            <w:left w:val="none" w:sz="0" w:space="0" w:color="auto"/>
            <w:bottom w:val="none" w:sz="0" w:space="0" w:color="auto"/>
            <w:right w:val="none" w:sz="0" w:space="0" w:color="auto"/>
          </w:divBdr>
          <w:divsChild>
            <w:div w:id="83572697">
              <w:marLeft w:val="465"/>
              <w:marRight w:val="0"/>
              <w:marTop w:val="0"/>
              <w:marBottom w:val="45"/>
              <w:divBdr>
                <w:top w:val="none" w:sz="0" w:space="0" w:color="auto"/>
                <w:left w:val="none" w:sz="0" w:space="0" w:color="auto"/>
                <w:bottom w:val="none" w:sz="0" w:space="0" w:color="auto"/>
                <w:right w:val="none" w:sz="0" w:space="0" w:color="auto"/>
              </w:divBdr>
            </w:div>
            <w:div w:id="405955436">
              <w:marLeft w:val="0"/>
              <w:marRight w:val="0"/>
              <w:marTop w:val="0"/>
              <w:marBottom w:val="0"/>
              <w:divBdr>
                <w:top w:val="none" w:sz="0" w:space="0" w:color="auto"/>
                <w:left w:val="none" w:sz="0" w:space="0" w:color="auto"/>
                <w:bottom w:val="none" w:sz="0" w:space="0" w:color="auto"/>
                <w:right w:val="none" w:sz="0" w:space="0" w:color="auto"/>
              </w:divBdr>
            </w:div>
          </w:divsChild>
        </w:div>
        <w:div w:id="993223430">
          <w:marLeft w:val="-480"/>
          <w:marRight w:val="0"/>
          <w:marTop w:val="0"/>
          <w:marBottom w:val="0"/>
          <w:divBdr>
            <w:top w:val="none" w:sz="0" w:space="0" w:color="auto"/>
            <w:left w:val="none" w:sz="0" w:space="0" w:color="auto"/>
            <w:bottom w:val="none" w:sz="0" w:space="0" w:color="auto"/>
            <w:right w:val="none" w:sz="0" w:space="0" w:color="auto"/>
          </w:divBdr>
          <w:divsChild>
            <w:div w:id="1068918649">
              <w:marLeft w:val="465"/>
              <w:marRight w:val="0"/>
              <w:marTop w:val="0"/>
              <w:marBottom w:val="45"/>
              <w:divBdr>
                <w:top w:val="none" w:sz="0" w:space="0" w:color="auto"/>
                <w:left w:val="none" w:sz="0" w:space="0" w:color="auto"/>
                <w:bottom w:val="none" w:sz="0" w:space="0" w:color="auto"/>
                <w:right w:val="none" w:sz="0" w:space="0" w:color="auto"/>
              </w:divBdr>
            </w:div>
            <w:div w:id="636105122">
              <w:marLeft w:val="0"/>
              <w:marRight w:val="0"/>
              <w:marTop w:val="0"/>
              <w:marBottom w:val="0"/>
              <w:divBdr>
                <w:top w:val="none" w:sz="0" w:space="0" w:color="auto"/>
                <w:left w:val="none" w:sz="0" w:space="0" w:color="auto"/>
                <w:bottom w:val="none" w:sz="0" w:space="0" w:color="auto"/>
                <w:right w:val="none" w:sz="0" w:space="0" w:color="auto"/>
              </w:divBdr>
            </w:div>
          </w:divsChild>
        </w:div>
        <w:div w:id="438259281">
          <w:marLeft w:val="-480"/>
          <w:marRight w:val="0"/>
          <w:marTop w:val="0"/>
          <w:marBottom w:val="0"/>
          <w:divBdr>
            <w:top w:val="none" w:sz="0" w:space="0" w:color="auto"/>
            <w:left w:val="none" w:sz="0" w:space="0" w:color="auto"/>
            <w:bottom w:val="none" w:sz="0" w:space="0" w:color="auto"/>
            <w:right w:val="none" w:sz="0" w:space="0" w:color="auto"/>
          </w:divBdr>
          <w:divsChild>
            <w:div w:id="2062166611">
              <w:marLeft w:val="465"/>
              <w:marRight w:val="0"/>
              <w:marTop w:val="0"/>
              <w:marBottom w:val="45"/>
              <w:divBdr>
                <w:top w:val="none" w:sz="0" w:space="0" w:color="auto"/>
                <w:left w:val="none" w:sz="0" w:space="0" w:color="auto"/>
                <w:bottom w:val="none" w:sz="0" w:space="0" w:color="auto"/>
                <w:right w:val="none" w:sz="0" w:space="0" w:color="auto"/>
              </w:divBdr>
            </w:div>
            <w:div w:id="1206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4424">
      <w:bodyDiv w:val="1"/>
      <w:marLeft w:val="0"/>
      <w:marRight w:val="0"/>
      <w:marTop w:val="0"/>
      <w:marBottom w:val="0"/>
      <w:divBdr>
        <w:top w:val="none" w:sz="0" w:space="0" w:color="auto"/>
        <w:left w:val="none" w:sz="0" w:space="0" w:color="auto"/>
        <w:bottom w:val="none" w:sz="0" w:space="0" w:color="auto"/>
        <w:right w:val="none" w:sz="0" w:space="0" w:color="auto"/>
      </w:divBdr>
    </w:div>
    <w:div w:id="1101875849">
      <w:bodyDiv w:val="1"/>
      <w:marLeft w:val="0"/>
      <w:marRight w:val="0"/>
      <w:marTop w:val="0"/>
      <w:marBottom w:val="0"/>
      <w:divBdr>
        <w:top w:val="none" w:sz="0" w:space="0" w:color="auto"/>
        <w:left w:val="none" w:sz="0" w:space="0" w:color="auto"/>
        <w:bottom w:val="none" w:sz="0" w:space="0" w:color="auto"/>
        <w:right w:val="none" w:sz="0" w:space="0" w:color="auto"/>
      </w:divBdr>
    </w:div>
    <w:div w:id="1118182112">
      <w:bodyDiv w:val="1"/>
      <w:marLeft w:val="0"/>
      <w:marRight w:val="0"/>
      <w:marTop w:val="0"/>
      <w:marBottom w:val="0"/>
      <w:divBdr>
        <w:top w:val="none" w:sz="0" w:space="0" w:color="auto"/>
        <w:left w:val="none" w:sz="0" w:space="0" w:color="auto"/>
        <w:bottom w:val="none" w:sz="0" w:space="0" w:color="auto"/>
        <w:right w:val="none" w:sz="0" w:space="0" w:color="auto"/>
      </w:divBdr>
    </w:div>
    <w:div w:id="1284918417">
      <w:bodyDiv w:val="1"/>
      <w:marLeft w:val="0"/>
      <w:marRight w:val="0"/>
      <w:marTop w:val="0"/>
      <w:marBottom w:val="0"/>
      <w:divBdr>
        <w:top w:val="none" w:sz="0" w:space="0" w:color="auto"/>
        <w:left w:val="none" w:sz="0" w:space="0" w:color="auto"/>
        <w:bottom w:val="none" w:sz="0" w:space="0" w:color="auto"/>
        <w:right w:val="none" w:sz="0" w:space="0" w:color="auto"/>
      </w:divBdr>
    </w:div>
    <w:div w:id="1291134201">
      <w:bodyDiv w:val="1"/>
      <w:marLeft w:val="0"/>
      <w:marRight w:val="0"/>
      <w:marTop w:val="0"/>
      <w:marBottom w:val="0"/>
      <w:divBdr>
        <w:top w:val="none" w:sz="0" w:space="0" w:color="auto"/>
        <w:left w:val="none" w:sz="0" w:space="0" w:color="auto"/>
        <w:bottom w:val="none" w:sz="0" w:space="0" w:color="auto"/>
        <w:right w:val="none" w:sz="0" w:space="0" w:color="auto"/>
      </w:divBdr>
    </w:div>
    <w:div w:id="1477651269">
      <w:bodyDiv w:val="1"/>
      <w:marLeft w:val="0"/>
      <w:marRight w:val="0"/>
      <w:marTop w:val="0"/>
      <w:marBottom w:val="0"/>
      <w:divBdr>
        <w:top w:val="none" w:sz="0" w:space="0" w:color="auto"/>
        <w:left w:val="none" w:sz="0" w:space="0" w:color="auto"/>
        <w:bottom w:val="none" w:sz="0" w:space="0" w:color="auto"/>
        <w:right w:val="none" w:sz="0" w:space="0" w:color="auto"/>
      </w:divBdr>
    </w:div>
    <w:div w:id="1846482770">
      <w:bodyDiv w:val="1"/>
      <w:marLeft w:val="0"/>
      <w:marRight w:val="0"/>
      <w:marTop w:val="0"/>
      <w:marBottom w:val="0"/>
      <w:divBdr>
        <w:top w:val="none" w:sz="0" w:space="0" w:color="auto"/>
        <w:left w:val="none" w:sz="0" w:space="0" w:color="auto"/>
        <w:bottom w:val="none" w:sz="0" w:space="0" w:color="auto"/>
        <w:right w:val="none" w:sz="0" w:space="0" w:color="auto"/>
      </w:divBdr>
    </w:div>
    <w:div w:id="1966621317">
      <w:bodyDiv w:val="1"/>
      <w:marLeft w:val="0"/>
      <w:marRight w:val="0"/>
      <w:marTop w:val="0"/>
      <w:marBottom w:val="0"/>
      <w:divBdr>
        <w:top w:val="none" w:sz="0" w:space="0" w:color="auto"/>
        <w:left w:val="none" w:sz="0" w:space="0" w:color="auto"/>
        <w:bottom w:val="none" w:sz="0" w:space="0" w:color="auto"/>
        <w:right w:val="none" w:sz="0" w:space="0" w:color="auto"/>
      </w:divBdr>
      <w:divsChild>
        <w:div w:id="1567841162">
          <w:marLeft w:val="0"/>
          <w:marRight w:val="0"/>
          <w:marTop w:val="0"/>
          <w:marBottom w:val="0"/>
          <w:divBdr>
            <w:top w:val="none" w:sz="0" w:space="0" w:color="auto"/>
            <w:left w:val="none" w:sz="0" w:space="0" w:color="auto"/>
            <w:bottom w:val="none" w:sz="0" w:space="0" w:color="auto"/>
            <w:right w:val="none" w:sz="0" w:space="0" w:color="auto"/>
          </w:divBdr>
        </w:div>
        <w:div w:id="1762264153">
          <w:marLeft w:val="0"/>
          <w:marRight w:val="0"/>
          <w:marTop w:val="0"/>
          <w:marBottom w:val="0"/>
          <w:divBdr>
            <w:top w:val="none" w:sz="0" w:space="0" w:color="auto"/>
            <w:left w:val="none" w:sz="0" w:space="0" w:color="auto"/>
            <w:bottom w:val="none" w:sz="0" w:space="0" w:color="auto"/>
            <w:right w:val="none" w:sz="0" w:space="0" w:color="auto"/>
          </w:divBdr>
        </w:div>
        <w:div w:id="1687248297">
          <w:marLeft w:val="0"/>
          <w:marRight w:val="0"/>
          <w:marTop w:val="0"/>
          <w:marBottom w:val="0"/>
          <w:divBdr>
            <w:top w:val="none" w:sz="0" w:space="0" w:color="auto"/>
            <w:left w:val="none" w:sz="0" w:space="0" w:color="auto"/>
            <w:bottom w:val="none" w:sz="0" w:space="0" w:color="auto"/>
            <w:right w:val="none" w:sz="0" w:space="0" w:color="auto"/>
          </w:divBdr>
        </w:div>
        <w:div w:id="855771600">
          <w:marLeft w:val="0"/>
          <w:marRight w:val="0"/>
          <w:marTop w:val="0"/>
          <w:marBottom w:val="0"/>
          <w:divBdr>
            <w:top w:val="none" w:sz="0" w:space="0" w:color="auto"/>
            <w:left w:val="none" w:sz="0" w:space="0" w:color="auto"/>
            <w:bottom w:val="none" w:sz="0" w:space="0" w:color="auto"/>
            <w:right w:val="none" w:sz="0" w:space="0" w:color="auto"/>
          </w:divBdr>
        </w:div>
        <w:div w:id="35393026">
          <w:marLeft w:val="0"/>
          <w:marRight w:val="0"/>
          <w:marTop w:val="0"/>
          <w:marBottom w:val="0"/>
          <w:divBdr>
            <w:top w:val="none" w:sz="0" w:space="0" w:color="auto"/>
            <w:left w:val="none" w:sz="0" w:space="0" w:color="auto"/>
            <w:bottom w:val="none" w:sz="0" w:space="0" w:color="auto"/>
            <w:right w:val="none" w:sz="0" w:space="0" w:color="auto"/>
          </w:divBdr>
        </w:div>
        <w:div w:id="2128959727">
          <w:marLeft w:val="0"/>
          <w:marRight w:val="0"/>
          <w:marTop w:val="0"/>
          <w:marBottom w:val="0"/>
          <w:divBdr>
            <w:top w:val="none" w:sz="0" w:space="0" w:color="auto"/>
            <w:left w:val="none" w:sz="0" w:space="0" w:color="auto"/>
            <w:bottom w:val="none" w:sz="0" w:space="0" w:color="auto"/>
            <w:right w:val="none" w:sz="0" w:space="0" w:color="auto"/>
          </w:divBdr>
        </w:div>
      </w:divsChild>
    </w:div>
    <w:div w:id="1967421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D23E-E37C-1743-9FF5-8E09FADC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3095</Words>
  <Characters>17645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Reed</dc:creator>
  <cp:lastModifiedBy>Lucy Reed</cp:lastModifiedBy>
  <cp:revision>2</cp:revision>
  <dcterms:created xsi:type="dcterms:W3CDTF">2017-12-29T13:43:00Z</dcterms:created>
  <dcterms:modified xsi:type="dcterms:W3CDTF">2017-12-29T13:43:00Z</dcterms:modified>
</cp:coreProperties>
</file>